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Civil Action case was a chemical investigation in the creeks and wells in Woburn, Massachusetts that seemed to be the cause of a 400% increase in childhood leukemia. TCE and PCE chemicals were found in the water and were eventually linked to Cryovac manufacturers that used TCE to clean tools and thin paint, and Unifirst who used PCE as a dry cleaning chemical (Kennedy).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Toms River, New Jersey was the site of thousands of toxic waste drums that leeched into the groundwater system. The property is “listed under the Federal Superfund program in 1983 and has been undergoing environmental remediation since that time” (Ciba). Although Toms River continues to be cleaned up by the government, there are still new cases of disease seen in the “Case-control Study of Childhood Cancers in Dover Township released in December of 2001” (TEACH).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Love Canal in New York is an unfinished canal that Hooker Chemical Company decided to use as a landfill for their chemical by-products. The city of Niagara Falls forced Hooker to sell the undeveloped land to build a school. Children and animals received chemical burns from playing with dirt in the school yard and their backyards. There also is a high incidence of birth defects, miscarriages, and liver and kidney damage (McCormack).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story of Erin Brockovich is another example of an incident that could have been discovered and controlled before it became a disaster. The PG&amp;E's Gas Compressor Station near Hinkley, CA reported high levels of chrome 6, a known carcinogen, in their waste water ponds (Lawbuzz). It wasn’t until Erin discovered this issue the many people and animals getting diseases were linked to one source.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