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Raw Data: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40.0" w:type="dxa"/>
        <w:jc w:val="left"/>
        <w:tblInd w:w="93.0" w:type="dxa"/>
        <w:tblLayout w:type="fixed"/>
        <w:tblLook w:val="0000"/>
      </w:tblPr>
      <w:tblGrid>
        <w:gridCol w:w="1720"/>
        <w:gridCol w:w="2020"/>
        <w:gridCol w:w="1240"/>
        <w:gridCol w:w="5060"/>
        <w:tblGridChange w:id="0">
          <w:tblGrid>
            <w:gridCol w:w="1720"/>
            <w:gridCol w:w="2020"/>
            <w:gridCol w:w="1240"/>
            <w:gridCol w:w="5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Participant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Flashcard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Number of Words Remembered Out of 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Graphs: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all of the following graphs, the female participants are represented by the pink line and the male participants are represented by the blue line.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09975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09975" cy="31038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0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09975" cy="2914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41910</wp:posOffset>
            </wp:positionV>
            <wp:extent cx="3609975" cy="3295650"/>
            <wp:effectExtent b="0" l="0" r="0" t="0"/>
            <wp:wrapSquare wrapText="right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