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shd w:fill="auto" w:val="clear"/>
          <w:rtl w:val="0"/>
        </w:rPr>
        <w:t xml:space="preserve">Bib.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  <w:rtl w:val="0"/>
        </w:rPr>
        <w:t xml:space="preserve">Bibliography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Goins, Yorio, Sanwo, and Brown. 1997. Photomorphogenesis, photosynthesis, and seed yield of wheat plants grown under red light-emitting diodes (LEDs) with and without supplementary blue lighting.  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shd w:fill="auto" w:val="clear"/>
          <w:rtl w:val="0"/>
        </w:rPr>
        <w:t xml:space="preserve">Journal of Experimental Botany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 48:1407-1413.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Rivadossi, Zucchelli, Garlaschi, and Jennings.  1999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rtl w:val="0"/>
        </w:rPr>
        <w:t xml:space="preserve">. The importance of PS I chlorophyll red forms in light harvesting by leaves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.  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shd w:fill="auto" w:val="clear"/>
          <w:rtl w:val="0"/>
        </w:rPr>
        <w:t xml:space="preserve">Photosynthesis Research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 60: 209-215.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Shlamovitz, Neomi, Ziv, Meira, Zamski, Eli.  1995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rtl w:val="0"/>
        </w:rPr>
        <w:t xml:space="preserve">.  Light, dark, and growth regulator involvement in groundnut (Arachis hypogaeal.) pod development.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  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shd w:fill="auto" w:val="clear"/>
          <w:rtl w:val="0"/>
        </w:rPr>
        <w:t xml:space="preserve">Journal of Plant Growth Regulation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 16: 37-42.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Zelena, Eva. 2000. 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rtl w:val="0"/>
        </w:rPr>
        <w:t xml:space="preserve">The effect of light and metabolism of IAA in maize seedlings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.  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shd w:fill="auto" w:val="clear"/>
          <w:rtl w:val="0"/>
        </w:rPr>
        <w:t xml:space="preserve">Journal of Plant Growth Regulation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 30: 23-29.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Xie, H.S., Hsiao, A.I, and Quick W.A..  1996. Influence of Temperature and light intensity and absorption, translocation, and phytotoxiaty of fenoxaprop-ethyl and imazamethabenz-methal in Avvena Fatua.  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shd w:fill="auto" w:val="clear"/>
          <w:rtl w:val="0"/>
        </w:rPr>
        <w:t xml:space="preserve">Journal of Plant Growth Regulation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 15;  57-62.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Purves, William K, Orians, Gordon H, Heller, Craig H, Sadava, David.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rtl w:val="0"/>
        </w:rPr>
        <w:t xml:space="preserve">Life: The Science of Biology.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 Courier Companies, Inc. 1999. South, Salt Lake City, Utah. Pgs 168-172.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