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  <w:rtl w:val="0"/>
              </w:rPr>
              <w:t xml:space="preserve">Materials</w:t>
            </w:r>
          </w:p>
          <w:tbl>
            <w:tblPr>
              <w:tblStyle w:val="Table2"/>
              <w:tblW w:w="5062.184732873415" w:type="dxa"/>
              <w:jc w:val="left"/>
              <w:tblLayout w:type="fixed"/>
              <w:tblLook w:val="0600"/>
            </w:tblPr>
            <w:tblGrid>
              <w:gridCol w:w="560.2728181487454"/>
              <w:gridCol w:w="4501.911914724669"/>
              <w:tblGridChange w:id="0">
                <w:tblGrid>
                  <w:gridCol w:w="560.2728181487454"/>
                  <w:gridCol w:w="4501.91191472466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8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Survey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  <w:rtl w:val="0"/>
                    </w:rPr>
                    <w:t xml:space="preserve">E-mail addresses of 50 obstetricians and/or midwifes 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  <w:rtl w:val="0"/>
              </w:rPr>
              <w:t xml:space="preserve">Step by Step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1) Create a survey that will determine the success rate of the acupuncture treatment and the ECV treatment. 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2) Find the e-mail addresses of 50 obstetricians and midwifes that practice both acupuncture treatment and the ECV treatment.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My list.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3)Send out the e-mails. The e-mail should contain a short introduction about yourself and why you are doing this project, and what you hope to accomplish by doing this project.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My survey and e-mail.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4) Wait 3 weeks for responses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5) Send out reminder letters to those who have yet responded.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My letter.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6)Wait 2 weeks for responses 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7) As the results come in record the results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shd w:fill="auto" w:val="clear"/>
                <w:rtl w:val="0"/>
              </w:rPr>
              <w:t xml:space="preserve">8) Compare the usage and success rate of the acupuncture treatment compared to the ECV treatment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Procedure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265.5461832183537" w:type="dxa"/>
              <w:jc w:val="left"/>
              <w:tblLayout w:type="fixed"/>
              <w:tblLook w:val="0600"/>
            </w:tblPr>
            <w:tblGrid>
              <w:gridCol w:w="420.614439514144"/>
              <w:gridCol w:w="844.9317437042096"/>
              <w:tblGridChange w:id="0">
                <w:tblGrid>
                  <w:gridCol w:w="420.614439514144"/>
                  <w:gridCol w:w="844.931743704209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Prediction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Procedure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workscited.htm" TargetMode="External"/><Relationship Id="rId11" Type="http://schemas.openxmlformats.org/officeDocument/2006/relationships/hyperlink" Target="http://docs.google.com/Prediction.htm" TargetMode="External"/><Relationship Id="rId10" Type="http://schemas.openxmlformats.org/officeDocument/2006/relationships/hyperlink" Target="http://docs.google.com/abstract.htm" TargetMode="External"/><Relationship Id="rId13" Type="http://schemas.openxmlformats.org/officeDocument/2006/relationships/hyperlink" Target="http://docs.google.com/conclusion.htm" TargetMode="External"/><Relationship Id="rId12" Type="http://schemas.openxmlformats.org/officeDocument/2006/relationships/hyperlink" Target="http://docs.google.com/data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ruehome.htm" TargetMode="External"/><Relationship Id="rId15" Type="http://schemas.openxmlformats.org/officeDocument/2006/relationships/hyperlink" Target="http://docs.google.com/truehome.htm" TargetMode="External"/><Relationship Id="rId14" Type="http://schemas.openxmlformats.org/officeDocument/2006/relationships/hyperlink" Target="http://docs.google.com/workscited.htm" TargetMode="External"/><Relationship Id="rId17" Type="http://schemas.openxmlformats.org/officeDocument/2006/relationships/hyperlink" Target="http://docs.google.com/Prediction.htm" TargetMode="External"/><Relationship Id="rId16" Type="http://schemas.openxmlformats.org/officeDocument/2006/relationships/hyperlink" Target="http://docs.google.com/abstrac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clusion.htm" TargetMode="External"/><Relationship Id="rId6" Type="http://schemas.openxmlformats.org/officeDocument/2006/relationships/hyperlink" Target="http://docs.google.com/list.htm" TargetMode="External"/><Relationship Id="rId18" Type="http://schemas.openxmlformats.org/officeDocument/2006/relationships/hyperlink" Target="http://docs.google.com/data.htm" TargetMode="External"/><Relationship Id="rId7" Type="http://schemas.openxmlformats.org/officeDocument/2006/relationships/hyperlink" Target="http://docs.google.com/survey.htm" TargetMode="External"/><Relationship Id="rId8" Type="http://schemas.openxmlformats.org/officeDocument/2006/relationships/hyperlink" Target="http://docs.google.com/reminder_let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