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Gerras, Charles.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The Complete Book of Vitamins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Emmaus: Rodale Press, Inc., 1977.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Frith, Uta.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Autism Explaining the Enigma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Oxford: Basil Blackwell, Inc., 1989.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Tinbergen, Elisabeth.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Autistic Children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Winchester: Allen &amp; Unwin Inc., 1985.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Powers, Michael.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 Children with Autism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Rockville: Woodbine House, Inc., 1989.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Berger, Stuart.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How to be your own Nutritionist.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New York: William Morrow and Company, Inc., 1987.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Rimland, B.E.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Psychiat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 New York: Pocket Books, 1976.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Bryson, S.E. </w:t>
            </w:r>
            <w:r w:rsidDel="00000000" w:rsidR="00000000" w:rsidRPr="00000000">
              <w:rPr>
                <w:rFonts w:ascii="Tahoma" w:cs="Tahoma" w:eastAsia="Tahoma" w:hAnsi="Tahoma"/>
                <w:i w:val="1"/>
                <w:rtl w:val="0"/>
              </w:rPr>
              <w:t xml:space="preserve">First Report of a Canadian Epidemiological Study Of Autistic Children.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London: Burns Oates, 1988.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