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000000"/>
        </w:rPr>
      </w:pPr>
      <w:r w:rsidDel="00000000" w:rsidR="00000000" w:rsidRPr="00000000">
        <w:rPr>
          <w:b w:val="1"/>
          <w:color w:val="000000"/>
          <w:rtl w:val="0"/>
        </w:rPr>
        <w:t xml:space="preserve">Observations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 we conducted our experiment, we kept track of how much the individual cultures in the petri dishes grew. As bacteria are tiny organisms, our observations are mainly qualitative. Our Quantitative results are based on educated assumptions based on our observations. For example, since we could not be numerically sure about the growth, we looked at the growth carefully and gave the best possible estimate. The first graph shows our results with the controls as well as 5 of the plates that underwent the growth cycle with neosporin. The control generation had the highest percent of growth by far, and the first generation of the cultures with neosporin predictably had the least. The second, third, and fourth generations were exceptionally difficult to determine the rate of growth, however. As the bacteria were not fresh anymore, it was hard to determine what had grown, smeared, and died.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second graph shows our data generalized as a whole. From our observations, the e. coli bacteria did show an increase in resistace - however, the data and observations we obtained in this experiment were not near perfect. As a whole, we did not note much difference at all in our observations of the second and third generations.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CLICK HERE TO CONTINUE...CONCLUSIONS</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on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