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Traps and Specimen Results</w:t>
            </w:r>
          </w:p>
          <w:tbl>
            <w:tblPr>
              <w:tblStyle w:val="Table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349.89686855428465"/>
              <w:gridCol w:w="1632.2688918057381"/>
              <w:tblGridChange w:id="0">
                <w:tblGrid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349.89686855428465"/>
                  <w:gridCol w:w="1632.268891805738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.0000000000000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4.00000000000003"/>
              <w:gridCol w:w="234.00000000000003"/>
              <w:tblGridChange w:id="0">
                <w:tblGrid>
                  <w:gridCol w:w="234.00000000000003"/>
                  <w:gridCol w:w="234.00000000000003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This Web Site is Best viewed with 256 or more colors.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For More Information about Creekwatch, please contact Eric Thiel at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