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. Microbios V88 pp115-123, Vlacos "Establishment of a protocol for testing anti-microbial activity in southern African macro-algae" The Faculty Press, 1996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. interview with Dr. Richard Fetter PhD.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. R. Campbell, Plant Microbiology, Edward Arnold copyright 1985, pp. 3-30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. Broglie, Holliday, Cressman, Biddle, Knowlton, Mauvais, and Chet, "Transgenic Plants with Enhanced Resistance to the Fungal Pathogen Rhizoctonia solani" Science V254, pp.1194-1196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. Abbot and Hollenberg, Marine Algae of California, Stanford University Press, Copyright 1976 by the Board of Trustees.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