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404"/>
        <w:gridCol w:w="7956"/>
        <w:tblGridChange w:id="0">
          <w:tblGrid>
            <w:gridCol w:w="1404"/>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7956.0" w:type="dxa"/>
              <w:jc w:val="left"/>
              <w:tblLayout w:type="fixed"/>
              <w:tblLook w:val="0600"/>
            </w:tblPr>
            <w:tblGrid>
              <w:gridCol w:w="3978"/>
              <w:gridCol w:w="3978"/>
              <w:tblGridChange w:id="0">
                <w:tblGrid>
                  <w:gridCol w:w="3978"/>
                  <w:gridCol w:w="397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Fonts w:ascii="Tahoma" w:cs="Tahoma" w:eastAsia="Tahoma" w:hAnsi="Tahoma"/>
                      <w:sz w:val="36"/>
                      <w:szCs w:val="36"/>
                      <w:rtl w:val="0"/>
                    </w:rPr>
                    <w:t xml:space="preserve">These are bar graphs representing my data. When the Gram positive bacterial growth and the Gram negative bacterial growth are put side by side, it seems as if they reacted similarly. This, however is not the case at all, by proof of the comparison graph to the left. All graphs represent percent growth of the bacteria in response to the different anti-biotic.</w:t>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36"/>
                      <w:szCs w:val="3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36"/>
                      <w:szCs w:val="36"/>
                    </w:rPr>
                  </w:pPr>
                  <w:r w:rsidDel="00000000" w:rsidR="00000000" w:rsidRPr="00000000">
                    <w:rPr>
                      <w:rtl w:val="0"/>
                    </w:rPr>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36"/>
                <w:szCs w:val="36"/>
              </w:rPr>
            </w:pP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69.6"/>
        <w:gridCol w:w="2808"/>
        <w:gridCol w:w="3182.4"/>
        <w:tblGridChange w:id="0">
          <w:tblGrid>
            <w:gridCol w:w="3369.6"/>
            <w:gridCol w:w="2808"/>
            <w:gridCol w:w="318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