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color w:val="ffcc00"/>
                <w:sz w:val="28"/>
                <w:szCs w:val="28"/>
              </w:rPr>
            </w:pPr>
            <w:r w:rsidDel="00000000" w:rsidR="00000000" w:rsidRPr="00000000">
              <w:rPr>
                <w:rFonts w:ascii="Tahoma" w:cs="Tahoma" w:eastAsia="Tahoma" w:hAnsi="Tahoma"/>
                <w:b w:val="1"/>
                <w:color w:val="ffcc00"/>
                <w:sz w:val="28"/>
                <w:szCs w:val="28"/>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color w:val="ffcc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color w:val="000000"/>
              </w:rPr>
            </w:pPr>
            <w:r w:rsidDel="00000000" w:rsidR="00000000" w:rsidRPr="00000000">
              <w:rPr>
                <w:rFonts w:ascii="Tahoma" w:cs="Tahoma" w:eastAsia="Tahoma" w:hAnsi="Tahoma"/>
                <w:color w:val="000000"/>
                <w:rtl w:val="0"/>
              </w:rPr>
              <w:t xml:space="preserve">If mice are fed different diets based on the three main food groups: carbohydrates, fats, and protein, then it will affect their behavior and ability to memorize a controlled pattern.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b w:val="1"/>
                <w:color w:val="ffcc00"/>
                <w:sz w:val="28"/>
                <w:szCs w:val="28"/>
              </w:rPr>
            </w:pPr>
            <w:r w:rsidDel="00000000" w:rsidR="00000000" w:rsidRPr="00000000">
              <w:rPr>
                <w:rFonts w:ascii="Tahoma" w:cs="Tahoma" w:eastAsia="Tahoma" w:hAnsi="Tahoma"/>
                <w:b w:val="1"/>
                <w:color w:val="ffcc00"/>
                <w:sz w:val="28"/>
                <w:szCs w:val="28"/>
                <w:rtl w:val="0"/>
              </w:rPr>
              <w:t xml:space="preserve">Prediction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b w:val="1"/>
                <w:color w:val="ffcc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color w:val="000000"/>
              </w:rPr>
            </w:pPr>
            <w:r w:rsidDel="00000000" w:rsidR="00000000" w:rsidRPr="00000000">
              <w:rPr>
                <w:rFonts w:ascii="Tahoma" w:cs="Tahoma" w:eastAsia="Tahoma" w:hAnsi="Tahoma"/>
                <w:color w:val="000000"/>
                <w:rtl w:val="0"/>
              </w:rPr>
              <w:t xml:space="preserve">We believe that when the four different groups are tested in the maze then their performance will be based on the type of food they are primarily eating. We think that the carbohydrate group will perform the best followed by the balanced, protein, and fat groups.</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