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u w:val="single"/>
                <w:rtl w:val="0"/>
              </w:rPr>
              <w:t xml:space="preserve">Annual Book of ASTM Standards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Vol 11.01, Vol 11.05, Vol 11.02, Vol 14.02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September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Mitchell, William. 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u w:val="single"/>
                <w:rtl w:val="0"/>
              </w:rPr>
              <w:t xml:space="preserve">Water Pollution Biology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New York: Myriad Press, 1983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Helfrich, John. 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u w:val="single"/>
                <w:rtl w:val="0"/>
              </w:rPr>
              <w:t xml:space="preserve">Environmental Crisis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New Jersey: Prentice Hall, October 1980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Andrews, Jane. 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u w:val="single"/>
                <w:rtl w:val="0"/>
              </w:rPr>
              <w:t xml:space="preserve">A Guide to Study of the Environmental Pollution</w:t>
            </w: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New York: John Wiley and Sons, Inc., 1988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