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i w:val="1"/>
          <w:sz w:val="48"/>
          <w:szCs w:val="48"/>
          <w:u w:val="single"/>
          <w:shd w:fill="auto" w:val="clear"/>
        </w:rPr>
      </w:pPr>
      <w:r w:rsidDel="00000000" w:rsidR="00000000" w:rsidRPr="00000000">
        <w:rPr>
          <w:b w:val="1"/>
          <w:i w:val="1"/>
          <w:sz w:val="48"/>
          <w:szCs w:val="48"/>
          <w:u w:val="single"/>
          <w:shd w:fill="auto" w:val="clear"/>
          <w:rtl w:val="0"/>
        </w:rPr>
        <w:t xml:space="preserve">Sample Collection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i w:val="1"/>
          <w:color w:val="000000"/>
          <w:sz w:val="36"/>
          <w:szCs w:val="36"/>
          <w:shd w:fill="auto" w:val="clear"/>
        </w:rPr>
      </w:pPr>
      <w:r w:rsidDel="00000000" w:rsidR="00000000" w:rsidRPr="00000000">
        <w:rPr>
          <w:i w:val="1"/>
          <w:color w:val="000000"/>
          <w:sz w:val="36"/>
          <w:szCs w:val="36"/>
          <w:shd w:fill="auto" w:val="clear"/>
          <w:rtl w:val="0"/>
        </w:rPr>
        <w:t xml:space="preserve">(Before </w:t>
      </w:r>
      <w:hyperlink w:anchor="30j0zll">
        <w:r w:rsidDel="00000000" w:rsidR="00000000" w:rsidRPr="00000000">
          <w:rPr>
            <w:i w:val="1"/>
            <w:color w:val="0000ee"/>
            <w:sz w:val="36"/>
            <w:szCs w:val="36"/>
            <w:u w:val="single"/>
            <w:shd w:fill="auto" w:val="clear"/>
            <w:rtl w:val="0"/>
          </w:rPr>
          <w:t xml:space="preserve">Radioactive Assay Test</w:t>
        </w:r>
      </w:hyperlink>
      <w:r w:rsidDel="00000000" w:rsidR="00000000" w:rsidRPr="00000000">
        <w:rPr>
          <w:i w:val="1"/>
          <w:color w:val="000000"/>
          <w:sz w:val="36"/>
          <w:szCs w:val="36"/>
          <w:shd w:fill="auto" w:val="clea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i w:val="1"/>
          <w:color w:val="000000"/>
          <w:sz w:val="36"/>
          <w:szCs w:val="36"/>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Collect 15-20 test tubes that will fit into a centrifuge. Label them according to the people that you sample. Be sure to note the age of the person, if possible.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After finding a large sample size to work from (use of 15-20 people should be plenty), collect the cheek cells via use of a buccal scrape.</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u w:val="single"/>
          <w:shd w:fill="auto" w:val="clear"/>
          <w:rtl w:val="0"/>
        </w:rPr>
        <w:t xml:space="preserve">Buccal Scrape</w:t>
      </w:r>
      <w:r w:rsidDel="00000000" w:rsidR="00000000" w:rsidRPr="00000000">
        <w:rPr>
          <w:shd w:fill="auto" w:val="clear"/>
          <w:rtl w:val="0"/>
        </w:rPr>
        <w:t xml:space="preserve">: Collection of cheek cells as the sample materials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approximately 3-4 scrapes to allow for plenty of cells to be gathered.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Fill the test tube approximately * up with a sterile saline solution.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Place the collected cells into the appropriate test tubes and make sure as many cells come off the scraper as is possible.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Stopper the test tubes completely for a run in the centrifuge.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Place the test tubes into the centrifuge and cover the machinery. ·</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color w:val="ff0000"/>
          <w:u w:val="single"/>
          <w:shd w:fill="auto" w:val="clear"/>
          <w:rtl w:val="0"/>
        </w:rPr>
        <w:t xml:space="preserve">WARNING</w:t>
      </w:r>
      <w:r w:rsidDel="00000000" w:rsidR="00000000" w:rsidRPr="00000000">
        <w:rPr>
          <w:shd w:fill="auto" w:val="clear"/>
          <w:rtl w:val="0"/>
        </w:rPr>
        <w:t xml:space="preserve">: Centrifuges are </w:t>
      </w:r>
      <w:r w:rsidDel="00000000" w:rsidR="00000000" w:rsidRPr="00000000">
        <w:rPr>
          <w:i w:val="1"/>
          <w:shd w:fill="auto" w:val="clear"/>
          <w:rtl w:val="0"/>
        </w:rPr>
        <w:t xml:space="preserve">very </w:t>
      </w:r>
      <w:r w:rsidDel="00000000" w:rsidR="00000000" w:rsidRPr="00000000">
        <w:rPr>
          <w:shd w:fill="auto" w:val="clear"/>
          <w:rtl w:val="0"/>
        </w:rPr>
        <w:t xml:space="preserve">dangerous if you leave the cover open!! </w:t>
      </w:r>
      <w:r w:rsidDel="00000000" w:rsidR="00000000" w:rsidRPr="00000000">
        <w:rPr>
          <w:b w:val="1"/>
          <w:i w:val="1"/>
          <w:shd w:fill="auto" w:val="clear"/>
          <w:rtl w:val="0"/>
        </w:rPr>
        <w:t xml:space="preserve">NEVER </w:t>
      </w:r>
      <w:r w:rsidDel="00000000" w:rsidR="00000000" w:rsidRPr="00000000">
        <w:rPr>
          <w:shd w:fill="auto" w:val="clear"/>
          <w:rtl w:val="0"/>
        </w:rPr>
        <w:t xml:space="preserve">put anything into the machine while it is running and </w:t>
      </w:r>
      <w:r w:rsidDel="00000000" w:rsidR="00000000" w:rsidRPr="00000000">
        <w:rPr>
          <w:b w:val="1"/>
          <w:shd w:fill="auto" w:val="clear"/>
          <w:rtl w:val="0"/>
        </w:rPr>
        <w:t xml:space="preserve">always </w:t>
      </w:r>
      <w:r w:rsidDel="00000000" w:rsidR="00000000" w:rsidRPr="00000000">
        <w:rPr>
          <w:shd w:fill="auto" w:val="clear"/>
          <w:rtl w:val="0"/>
        </w:rPr>
        <w:t xml:space="preserve">close the cover (if there is one) </w:t>
      </w:r>
      <w:r w:rsidDel="00000000" w:rsidR="00000000" w:rsidRPr="00000000">
        <w:rPr>
          <w:b w:val="1"/>
          <w:shd w:fill="auto" w:val="clear"/>
          <w:rtl w:val="0"/>
        </w:rPr>
        <w:t xml:space="preserve">before </w:t>
      </w:r>
      <w:r w:rsidDel="00000000" w:rsidR="00000000" w:rsidRPr="00000000">
        <w:rPr>
          <w:shd w:fill="auto" w:val="clear"/>
          <w:rtl w:val="0"/>
        </w:rPr>
        <w:t xml:space="preserve">starting any runs!!!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Centrifuge the mixture for approximately 2 minutes. This will allow for the cheek cells to concentrate at the bottom of the test tubes. After centrifuging the mixtures, remove the test tubes.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Drain the solution to leave approximately 1 cc of fluid within the tube. Allowing some of the solution to be in the test tube will ensure that the cells will not dry out.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Cover the test tube again tightly with Parafilm M or a stopper.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Refrigerate the test tubes until ready for use in assay. Freeze the samples if the assay will not occur until a week or later.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0j0zll" w:id="1"/>
    <w:bookmarkEnd w:id="1"/>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i w:val="1"/>
          <w:color w:val="000000"/>
          <w:sz w:val="48"/>
          <w:szCs w:val="48"/>
          <w:u w:val="single"/>
          <w:shd w:fill="auto" w:val="clear"/>
        </w:rPr>
      </w:pPr>
      <w:r w:rsidDel="00000000" w:rsidR="00000000" w:rsidRPr="00000000">
        <w:rPr>
          <w:b w:val="1"/>
          <w:i w:val="1"/>
          <w:color w:val="000000"/>
          <w:sz w:val="48"/>
          <w:szCs w:val="48"/>
          <w:u w:val="single"/>
          <w:shd w:fill="auto" w:val="clear"/>
          <w:rtl w:val="0"/>
        </w:rPr>
        <w:t xml:space="preserve">Radioactive Assay Testing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i w:val="1"/>
          <w:color w:val="000000"/>
          <w:sz w:val="36"/>
          <w:szCs w:val="36"/>
          <w:shd w:fill="auto" w:val="clear"/>
        </w:rPr>
      </w:pPr>
      <w:r w:rsidDel="00000000" w:rsidR="00000000" w:rsidRPr="00000000">
        <w:rPr>
          <w:i w:val="1"/>
          <w:color w:val="000000"/>
          <w:sz w:val="36"/>
          <w:szCs w:val="36"/>
          <w:shd w:fill="auto" w:val="clear"/>
          <w:rtl w:val="0"/>
        </w:rPr>
        <w:t xml:space="preserve">(As Outlined by Geron Corporation)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00"/>
          <w:shd w:fill="auto" w:val="clear"/>
        </w:rPr>
      </w:pPr>
      <w:r w:rsidDel="00000000" w:rsidR="00000000" w:rsidRPr="00000000">
        <w:rPr>
          <w:color w:val="000000"/>
          <w:shd w:fill="auto" w:val="clear"/>
          <w:rtl w:val="0"/>
        </w:rPr>
        <w:t xml:space="preserve">The </w:t>
      </w:r>
      <w:hyperlink r:id="rId6">
        <w:r w:rsidDel="00000000" w:rsidR="00000000" w:rsidRPr="00000000">
          <w:rPr>
            <w:color w:val="0000ee"/>
            <w:u w:val="single"/>
            <w:shd w:fill="auto" w:val="clear"/>
            <w:rtl w:val="0"/>
          </w:rPr>
          <w:t xml:space="preserve">Geron Corporation</w:t>
        </w:r>
      </w:hyperlink>
      <w:r w:rsidDel="00000000" w:rsidR="00000000" w:rsidRPr="00000000">
        <w:rPr>
          <w:color w:val="000000"/>
          <w:shd w:fill="auto" w:val="clear"/>
          <w:rtl w:val="0"/>
        </w:rPr>
        <w:t xml:space="preserve"> is to be given credit to allow me to use this procedure for the assay used in testing </w:t>
      </w:r>
      <w:r w:rsidDel="00000000" w:rsidR="00000000" w:rsidRPr="00000000">
        <w:rPr>
          <w:shd w:fill="auto" w:val="clear"/>
          <w:rtl w:val="0"/>
        </w:rPr>
        <w:t xml:space="preserve">telomere</w:t>
      </w:r>
      <w:r w:rsidDel="00000000" w:rsidR="00000000" w:rsidRPr="00000000">
        <w:rPr>
          <w:color w:val="000000"/>
          <w:shd w:fill="auto" w:val="clear"/>
          <w:rtl w:val="0"/>
        </w:rPr>
        <w:t xml:space="preserve"> length and </w:t>
      </w:r>
      <w:hyperlink r:id="rId7">
        <w:r w:rsidDel="00000000" w:rsidR="00000000" w:rsidRPr="00000000">
          <w:rPr>
            <w:color w:val="0000ee"/>
            <w:u w:val="single"/>
            <w:shd w:fill="auto" w:val="clear"/>
            <w:rtl w:val="0"/>
          </w:rPr>
          <w:t xml:space="preserve">telomerase</w:t>
        </w:r>
      </w:hyperlink>
      <w:r w:rsidDel="00000000" w:rsidR="00000000" w:rsidRPr="00000000">
        <w:rPr>
          <w:color w:val="000000"/>
          <w:shd w:fill="auto" w:val="clear"/>
          <w:rtl w:val="0"/>
        </w:rPr>
        <w:t xml:space="preserve"> activity in a person's cells.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00"/>
          <w:shd w:fill="auto" w:val="clear"/>
        </w:rPr>
      </w:pPr>
      <w:r w:rsidDel="00000000" w:rsidR="00000000" w:rsidRPr="00000000">
        <w:rPr>
          <w:color w:val="000000"/>
          <w:shd w:fill="auto" w:val="clear"/>
          <w:rtl w:val="0"/>
        </w:rPr>
        <w:t xml:space="preserve">The following is a </w:t>
      </w:r>
      <w:r w:rsidDel="00000000" w:rsidR="00000000" w:rsidRPr="00000000">
        <w:rPr>
          <w:i w:val="1"/>
          <w:color w:val="000000"/>
          <w:shd w:fill="auto" w:val="clear"/>
          <w:rtl w:val="0"/>
        </w:rPr>
        <w:t xml:space="preserve">summary</w:t>
      </w:r>
      <w:r w:rsidDel="00000000" w:rsidR="00000000" w:rsidRPr="00000000">
        <w:rPr>
          <w:color w:val="000000"/>
          <w:shd w:fill="auto" w:val="clear"/>
          <w:rtl w:val="0"/>
        </w:rPr>
        <w:t xml:space="preserve"> of the procedure used at Geron; it will </w:t>
      </w:r>
      <w:r w:rsidDel="00000000" w:rsidR="00000000" w:rsidRPr="00000000">
        <w:rPr>
          <w:b w:val="1"/>
          <w:color w:val="000000"/>
          <w:shd w:fill="auto" w:val="clear"/>
          <w:rtl w:val="0"/>
        </w:rPr>
        <w:t xml:space="preserve">not</w:t>
      </w:r>
      <w:r w:rsidDel="00000000" w:rsidR="00000000" w:rsidRPr="00000000">
        <w:rPr>
          <w:color w:val="000000"/>
          <w:shd w:fill="auto" w:val="clear"/>
          <w:rtl w:val="0"/>
        </w:rPr>
        <w:t xml:space="preserve"> contain all the preparatory steps (such as the preparation of the lysis solution) prior to the radioactive assay: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00"/>
          <w:shd w:fill="auto" w:val="clear"/>
        </w:rPr>
      </w:pPr>
      <w:r w:rsidDel="00000000" w:rsidR="00000000" w:rsidRPr="00000000">
        <w:rPr>
          <w:color w:val="000000"/>
          <w:shd w:fill="auto" w:val="clear"/>
          <w:rtl w:val="0"/>
        </w:rPr>
        <w:t xml:space="preserve">1.) The Telomeric Sequence Motif Abundance (TSMA) assay is run from using 200,000 (2x10</w:t>
      </w:r>
      <w:r w:rsidDel="00000000" w:rsidR="00000000" w:rsidRPr="00000000">
        <w:rPr>
          <w:color w:val="000000"/>
          <w:shd w:fill="auto" w:val="clear"/>
          <w:vertAlign w:val="superscript"/>
          <w:rtl w:val="0"/>
        </w:rPr>
        <w:t xml:space="preserve">5</w:t>
      </w:r>
      <w:r w:rsidDel="00000000" w:rsidR="00000000" w:rsidRPr="00000000">
        <w:rPr>
          <w:color w:val="000000"/>
          <w:shd w:fill="auto" w:val="clear"/>
          <w:rtl w:val="0"/>
        </w:rPr>
        <w:t xml:space="preserve">) cells from a single source (in this case, I used cheek cells).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00"/>
          <w:shd w:fill="auto" w:val="clear"/>
        </w:rPr>
      </w:pPr>
      <w:r w:rsidDel="00000000" w:rsidR="00000000" w:rsidRPr="00000000">
        <w:rPr>
          <w:color w:val="000000"/>
          <w:shd w:fill="auto" w:val="clear"/>
          <w:rtl w:val="0"/>
        </w:rPr>
        <w:t xml:space="preserve">2.) Run a standard whole-cell lysate through dot-blot assay filters with the immobilized DNA. The sample is dot-blotted to a positively charged nylon membrane.</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shd w:fill="auto" w:val="clear"/>
          <w:rtl w:val="0"/>
        </w:rPr>
        <w:t xml:space="preserve">A </w:t>
      </w:r>
      <w:r w:rsidDel="00000000" w:rsidR="00000000" w:rsidRPr="00000000">
        <w:rPr>
          <w:i w:val="1"/>
          <w:color w:val="000000"/>
          <w:shd w:fill="auto" w:val="clear"/>
          <w:rtl w:val="0"/>
        </w:rPr>
        <w:t xml:space="preserve">lysate</w:t>
      </w:r>
      <w:r w:rsidDel="00000000" w:rsidR="00000000" w:rsidRPr="00000000">
        <w:rPr>
          <w:color w:val="000000"/>
          <w:shd w:fill="auto" w:val="clear"/>
          <w:rtl w:val="0"/>
        </w:rPr>
        <w:t xml:space="preserve"> is prepared from a fixed number of cells; the DNA in that lysate is immobilized onto a nylon filter by dot-blotting</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shd w:fill="auto" w:val="clear"/>
          <w:rtl w:val="0"/>
        </w:rPr>
        <w:t xml:space="preserve">Each blot filter should also have a standard, as in all experiments.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shd w:fill="auto" w:val="clear"/>
          <w:rtl w:val="0"/>
        </w:rPr>
        <w:t xml:space="preserve">Each sample is tested in quadruplet</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shd w:fill="auto" w:val="clear"/>
          <w:rtl w:val="0"/>
        </w:rPr>
        <w:t xml:space="preserve">Each "dot" contains 30x10</w:t>
      </w:r>
      <w:r w:rsidDel="00000000" w:rsidR="00000000" w:rsidRPr="00000000">
        <w:rPr>
          <w:color w:val="000000"/>
          <w:shd w:fill="auto" w:val="clear"/>
          <w:vertAlign w:val="superscript"/>
          <w:rtl w:val="0"/>
        </w:rPr>
        <w:t xml:space="preserve">3</w:t>
      </w:r>
      <w:r w:rsidDel="00000000" w:rsidR="00000000" w:rsidRPr="00000000">
        <w:rPr>
          <w:color w:val="000000"/>
          <w:shd w:fill="auto" w:val="clear"/>
          <w:rtl w:val="0"/>
        </w:rPr>
        <w:t xml:space="preserve"> cells.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00"/>
          <w:shd w:fill="auto" w:val="clear"/>
        </w:rPr>
      </w:pPr>
      <w:r w:rsidDel="00000000" w:rsidR="00000000" w:rsidRPr="00000000">
        <w:rPr>
          <w:color w:val="000000"/>
          <w:shd w:fill="auto" w:val="clear"/>
          <w:rtl w:val="0"/>
        </w:rPr>
        <w:t xml:space="preserve">3.) Probing of DNA</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shd w:fill="auto" w:val="clear"/>
          <w:rtl w:val="0"/>
        </w:rPr>
        <w:t xml:space="preserve">A. Use a microsatellite specific probe (CAC)</w:t>
      </w:r>
      <w:r w:rsidDel="00000000" w:rsidR="00000000" w:rsidRPr="00000000">
        <w:rPr>
          <w:color w:val="000000"/>
          <w:shd w:fill="auto" w:val="clear"/>
          <w:vertAlign w:val="subscript"/>
          <w:rtl w:val="0"/>
        </w:rPr>
        <w:t xml:space="preserve">8</w:t>
      </w:r>
      <w:r w:rsidDel="00000000" w:rsidR="00000000" w:rsidRPr="00000000">
        <w:rPr>
          <w:color w:val="000000"/>
          <w:shd w:fill="auto" w:val="clear"/>
          <w:rtl w:val="0"/>
        </w:rPr>
        <w:t xml:space="preserve">, which is 5'-end labeled with [</w:t>
      </w:r>
      <w:r w:rsidDel="00000000" w:rsidR="00000000" w:rsidRPr="00000000">
        <w:rPr>
          <w:color w:val="000000"/>
          <w:shd w:fill="auto" w:val="clear"/>
          <w:vertAlign w:val="superscript"/>
          <w:rtl w:val="0"/>
        </w:rPr>
        <w:t xml:space="preserve">33</w:t>
      </w:r>
      <w:r w:rsidDel="00000000" w:rsidR="00000000" w:rsidRPr="00000000">
        <w:rPr>
          <w:color w:val="000000"/>
          <w:shd w:fill="auto" w:val="clear"/>
          <w:rtl w:val="0"/>
        </w:rPr>
        <w:t xml:space="preserve">P]. This specific probe is intended to quantitate the amount of total DNA in each sample for the purpose of normalization.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shd w:fill="auto" w:val="clear"/>
          <w:rtl w:val="0"/>
        </w:rPr>
        <w:t xml:space="preserve">B. Abundance of DNA in each sample is measured using ImageQuant(tm) software.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shd w:fill="auto" w:val="clear"/>
          <w:rtl w:val="0"/>
        </w:rPr>
        <w:t xml:space="preserve">C. A second probe is used by hybridizing the DNA with a [</w:t>
      </w:r>
      <w:r w:rsidDel="00000000" w:rsidR="00000000" w:rsidRPr="00000000">
        <w:rPr>
          <w:color w:val="000000"/>
          <w:shd w:fill="auto" w:val="clear"/>
          <w:vertAlign w:val="superscript"/>
          <w:rtl w:val="0"/>
        </w:rPr>
        <w:t xml:space="preserve">32</w:t>
      </w:r>
      <w:r w:rsidDel="00000000" w:rsidR="00000000" w:rsidRPr="00000000">
        <w:rPr>
          <w:color w:val="000000"/>
          <w:shd w:fill="auto" w:val="clear"/>
          <w:rtl w:val="0"/>
        </w:rPr>
        <w:t xml:space="preserve">P]-(C</w:t>
      </w:r>
      <w:r w:rsidDel="00000000" w:rsidR="00000000" w:rsidRPr="00000000">
        <w:rPr>
          <w:color w:val="000000"/>
          <w:shd w:fill="auto" w:val="clear"/>
          <w:vertAlign w:val="subscript"/>
          <w:rtl w:val="0"/>
        </w:rPr>
        <w:t xml:space="preserve">3</w:t>
      </w:r>
      <w:r w:rsidDel="00000000" w:rsidR="00000000" w:rsidRPr="00000000">
        <w:rPr>
          <w:color w:val="000000"/>
          <w:shd w:fill="auto" w:val="clear"/>
          <w:rtl w:val="0"/>
        </w:rPr>
        <w:t xml:space="preserve">TA</w:t>
      </w:r>
      <w:r w:rsidDel="00000000" w:rsidR="00000000" w:rsidRPr="00000000">
        <w:rPr>
          <w:color w:val="000000"/>
          <w:shd w:fill="auto" w:val="clear"/>
          <w:vertAlign w:val="subscript"/>
          <w:rtl w:val="0"/>
        </w:rPr>
        <w:t xml:space="preserve">2</w:t>
      </w:r>
      <w:r w:rsidDel="00000000" w:rsidR="00000000" w:rsidRPr="00000000">
        <w:rPr>
          <w:color w:val="000000"/>
          <w:shd w:fill="auto" w:val="clear"/>
          <w:rtl w:val="0"/>
        </w:rPr>
        <w:t xml:space="preserve">)</w:t>
      </w:r>
      <w:r w:rsidDel="00000000" w:rsidR="00000000" w:rsidRPr="00000000">
        <w:rPr>
          <w:color w:val="000000"/>
          <w:shd w:fill="auto" w:val="clear"/>
          <w:vertAlign w:val="subscript"/>
          <w:rtl w:val="0"/>
        </w:rPr>
        <w:t xml:space="preserve">n</w:t>
      </w:r>
      <w:r w:rsidDel="00000000" w:rsidR="00000000" w:rsidRPr="00000000">
        <w:rPr>
          <w:color w:val="000000"/>
          <w:shd w:fill="auto" w:val="clear"/>
          <w:rtl w:val="0"/>
        </w:rPr>
        <w:t xml:space="preserve"> riboprobe or [</w:t>
      </w:r>
      <w:r w:rsidDel="00000000" w:rsidR="00000000" w:rsidRPr="00000000">
        <w:rPr>
          <w:color w:val="000000"/>
          <w:shd w:fill="auto" w:val="clear"/>
          <w:vertAlign w:val="superscript"/>
          <w:rtl w:val="0"/>
        </w:rPr>
        <w:t xml:space="preserve">32</w:t>
      </w:r>
      <w:r w:rsidDel="00000000" w:rsidR="00000000" w:rsidRPr="00000000">
        <w:rPr>
          <w:color w:val="000000"/>
          <w:shd w:fill="auto" w:val="clear"/>
          <w:rtl w:val="0"/>
        </w:rPr>
        <w:t xml:space="preserve">P]-(C</w:t>
      </w:r>
      <w:r w:rsidDel="00000000" w:rsidR="00000000" w:rsidRPr="00000000">
        <w:rPr>
          <w:color w:val="000000"/>
          <w:shd w:fill="auto" w:val="clear"/>
          <w:vertAlign w:val="subscript"/>
          <w:rtl w:val="0"/>
        </w:rPr>
        <w:t xml:space="preserve">3</w:t>
      </w:r>
      <w:r w:rsidDel="00000000" w:rsidR="00000000" w:rsidRPr="00000000">
        <w:rPr>
          <w:color w:val="000000"/>
          <w:shd w:fill="auto" w:val="clear"/>
          <w:rtl w:val="0"/>
        </w:rPr>
        <w:t xml:space="preserve">TA</w:t>
      </w:r>
      <w:r w:rsidDel="00000000" w:rsidR="00000000" w:rsidRPr="00000000">
        <w:rPr>
          <w:color w:val="000000"/>
          <w:shd w:fill="auto" w:val="clear"/>
          <w:vertAlign w:val="subscript"/>
          <w:rtl w:val="0"/>
        </w:rPr>
        <w:t xml:space="preserve">2</w:t>
      </w:r>
      <w:r w:rsidDel="00000000" w:rsidR="00000000" w:rsidRPr="00000000">
        <w:rPr>
          <w:color w:val="000000"/>
          <w:shd w:fill="auto" w:val="clear"/>
          <w:rtl w:val="0"/>
        </w:rPr>
        <w:t xml:space="preserve">)</w:t>
      </w:r>
      <w:r w:rsidDel="00000000" w:rsidR="00000000" w:rsidRPr="00000000">
        <w:rPr>
          <w:color w:val="000000"/>
          <w:shd w:fill="auto" w:val="clear"/>
          <w:vertAlign w:val="subscript"/>
          <w:rtl w:val="0"/>
        </w:rPr>
        <w:t xml:space="preserve">4</w:t>
      </w:r>
      <w:r w:rsidDel="00000000" w:rsidR="00000000" w:rsidRPr="00000000">
        <w:rPr>
          <w:color w:val="000000"/>
          <w:shd w:fill="auto" w:val="clear"/>
          <w:rtl w:val="0"/>
        </w:rPr>
        <w:t xml:space="preserve"> DNA oligonucleotide. Each of these probes are specific for (anti-sense to) the telomeric repeat sequence.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shd w:fill="auto" w:val="clear"/>
          <w:rtl w:val="0"/>
        </w:rPr>
        <w:t xml:space="preserve">D. To calculate the abundance of the </w:t>
      </w:r>
      <w:hyperlink r:id="rId8">
        <w:r w:rsidDel="00000000" w:rsidR="00000000" w:rsidRPr="00000000">
          <w:rPr>
            <w:color w:val="0000ee"/>
            <w:u w:val="single"/>
            <w:shd w:fill="auto" w:val="clear"/>
            <w:rtl w:val="0"/>
          </w:rPr>
          <w:t xml:space="preserve">telomeric sequence</w:t>
        </w:r>
      </w:hyperlink>
      <w:r w:rsidDel="00000000" w:rsidR="00000000" w:rsidRPr="00000000">
        <w:rPr>
          <w:color w:val="000000"/>
          <w:shd w:fill="auto" w:val="clear"/>
          <w:rtl w:val="0"/>
        </w:rPr>
        <w:t xml:space="preserve"> motif, normalize the hybridization signal from the probe to the signal obtained from the microsatellite probe.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shd w:fill="auto" w:val="clear"/>
          <w:rtl w:val="0"/>
        </w:rPr>
        <w:t xml:space="preserve">E. Direct comparisons of data can be made from different filter plates by normalizing TSMA data for the samples should be normalized to TSMA value of the standard, which is tested in parallel on each blot.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00"/>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00"/>
          <w:shd w:fill="auto" w:val="clea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fob9te" w:id="2"/>
    <w:bookmarkEnd w:id="2"/>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b w:val="1"/>
          <w:i w:val="1"/>
          <w:sz w:val="48"/>
          <w:szCs w:val="48"/>
          <w:u w:val="single"/>
          <w:shd w:fill="auto" w:val="clear"/>
        </w:rPr>
      </w:pPr>
      <w:r w:rsidDel="00000000" w:rsidR="00000000" w:rsidRPr="00000000">
        <w:rPr>
          <w:b w:val="1"/>
          <w:i w:val="1"/>
          <w:sz w:val="48"/>
          <w:szCs w:val="48"/>
          <w:u w:val="single"/>
          <w:shd w:fill="auto" w:val="clear"/>
          <w:rtl w:val="0"/>
        </w:rPr>
        <w:t xml:space="preserve">Data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i w:val="1"/>
          <w:sz w:val="36"/>
          <w:szCs w:val="36"/>
          <w:shd w:fill="auto" w:val="clear"/>
        </w:rPr>
      </w:pPr>
      <w:r w:rsidDel="00000000" w:rsidR="00000000" w:rsidRPr="00000000">
        <w:rPr>
          <w:i w:val="1"/>
          <w:sz w:val="36"/>
          <w:szCs w:val="36"/>
          <w:shd w:fill="auto" w:val="clear"/>
          <w:rtl w:val="0"/>
        </w:rPr>
        <w:t xml:space="preserve">Average Telomeric Signal Motif (TSM) vs. Std. Deviation P</w:t>
      </w:r>
    </w:p>
    <w:tbl>
      <w:tblPr>
        <w:tblStyle w:val="Table1"/>
        <w:tblW w:w="9266.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97.6"/>
        <w:gridCol w:w="1497.6"/>
        <w:gridCol w:w="1591.2"/>
        <w:gridCol w:w="1591.2"/>
        <w:gridCol w:w="1497.6"/>
        <w:gridCol w:w="1591.2"/>
        <w:tblGridChange w:id="0">
          <w:tblGrid>
            <w:gridCol w:w="1497.6"/>
            <w:gridCol w:w="1497.6"/>
            <w:gridCol w:w="1591.2"/>
            <w:gridCol w:w="1591.2"/>
            <w:gridCol w:w="1497.6"/>
            <w:gridCol w:w="1591.2"/>
          </w:tblGrid>
        </w:tblGridChange>
      </w:tblGrid>
      <w:tr>
        <w:tc>
          <w:tcPr>
            <w:shd w:fill="990099"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b w:val="1"/>
                <w:i w:val="1"/>
                <w:color w:val="ffff00"/>
                <w:u w:val="single"/>
                <w:shd w:fill="auto" w:val="clear"/>
              </w:rPr>
            </w:pPr>
            <w:r w:rsidDel="00000000" w:rsidR="00000000" w:rsidRPr="00000000">
              <w:rPr>
                <w:color w:val="ffff00"/>
                <w:shd w:fill="auto" w:val="clear"/>
                <w:rtl w:val="0"/>
              </w:rPr>
              <w:t xml:space="preserve"> </w:t>
            </w:r>
            <w:r w:rsidDel="00000000" w:rsidR="00000000" w:rsidRPr="00000000">
              <w:rPr>
                <w:b w:val="1"/>
                <w:i w:val="1"/>
                <w:color w:val="ffff00"/>
                <w:u w:val="single"/>
                <w:shd w:fill="auto" w:val="clear"/>
                <w:rtl w:val="0"/>
              </w:rPr>
              <w:t xml:space="preserve">Sample #</w:t>
            </w:r>
          </w:p>
        </w:tc>
        <w:tc>
          <w:tcPr>
            <w:shd w:fill="990099"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b w:val="1"/>
                <w:i w:val="1"/>
                <w:color w:val="ffff00"/>
                <w:u w:val="single"/>
                <w:shd w:fill="auto" w:val="clear"/>
              </w:rPr>
            </w:pPr>
            <w:r w:rsidDel="00000000" w:rsidR="00000000" w:rsidRPr="00000000">
              <w:rPr>
                <w:color w:val="ffff00"/>
                <w:shd w:fill="auto" w:val="clear"/>
                <w:rtl w:val="0"/>
              </w:rPr>
              <w:t xml:space="preserve"> </w:t>
            </w:r>
            <w:r w:rsidDel="00000000" w:rsidR="00000000" w:rsidRPr="00000000">
              <w:rPr>
                <w:b w:val="1"/>
                <w:i w:val="1"/>
                <w:color w:val="ffff00"/>
                <w:u w:val="single"/>
                <w:shd w:fill="auto" w:val="clear"/>
                <w:rtl w:val="0"/>
              </w:rPr>
              <w:t xml:space="preserve">Avg TSM</w:t>
            </w:r>
          </w:p>
        </w:tc>
        <w:tc>
          <w:tcPr>
            <w:shd w:fill="990099"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b w:val="1"/>
                <w:i w:val="1"/>
                <w:color w:val="ffff00"/>
                <w:u w:val="single"/>
                <w:shd w:fill="auto" w:val="clear"/>
              </w:rPr>
            </w:pPr>
            <w:r w:rsidDel="00000000" w:rsidR="00000000" w:rsidRPr="00000000">
              <w:rPr>
                <w:color w:val="ffff00"/>
                <w:shd w:fill="auto" w:val="clear"/>
                <w:rtl w:val="0"/>
              </w:rPr>
              <w:t xml:space="preserve"> </w:t>
            </w:r>
            <w:r w:rsidDel="00000000" w:rsidR="00000000" w:rsidRPr="00000000">
              <w:rPr>
                <w:b w:val="1"/>
                <w:i w:val="1"/>
                <w:color w:val="ffff00"/>
                <w:u w:val="single"/>
                <w:shd w:fill="auto" w:val="clear"/>
                <w:rtl w:val="0"/>
              </w:rPr>
              <w:t xml:space="preserve">Std. Deviation P</w:t>
            </w:r>
          </w:p>
        </w:tc>
        <w:tc>
          <w:tcPr>
            <w:shd w:fill="990099"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b w:val="1"/>
                <w:i w:val="1"/>
                <w:color w:val="ffff00"/>
                <w:u w:val="single"/>
                <w:shd w:fill="auto" w:val="clear"/>
              </w:rPr>
            </w:pPr>
            <w:r w:rsidDel="00000000" w:rsidR="00000000" w:rsidRPr="00000000">
              <w:rPr>
                <w:color w:val="ffff00"/>
                <w:shd w:fill="auto" w:val="clear"/>
                <w:rtl w:val="0"/>
              </w:rPr>
              <w:t xml:space="preserve">  </w:t>
            </w:r>
            <w:r w:rsidDel="00000000" w:rsidR="00000000" w:rsidRPr="00000000">
              <w:rPr>
                <w:b w:val="1"/>
                <w:i w:val="1"/>
                <w:color w:val="ffff00"/>
                <w:u w:val="single"/>
                <w:shd w:fill="auto" w:val="clear"/>
                <w:rtl w:val="0"/>
              </w:rPr>
              <w:t xml:space="preserve">Sample #</w:t>
            </w:r>
          </w:p>
        </w:tc>
        <w:tc>
          <w:tcPr>
            <w:shd w:fill="990099"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b w:val="1"/>
                <w:i w:val="1"/>
                <w:color w:val="ffff00"/>
                <w:u w:val="single"/>
                <w:shd w:fill="auto" w:val="clear"/>
              </w:rPr>
            </w:pPr>
            <w:r w:rsidDel="00000000" w:rsidR="00000000" w:rsidRPr="00000000">
              <w:rPr>
                <w:color w:val="ffff00"/>
                <w:shd w:fill="auto" w:val="clear"/>
                <w:rtl w:val="0"/>
              </w:rPr>
              <w:t xml:space="preserve"> </w:t>
            </w:r>
            <w:r w:rsidDel="00000000" w:rsidR="00000000" w:rsidRPr="00000000">
              <w:rPr>
                <w:b w:val="1"/>
                <w:i w:val="1"/>
                <w:color w:val="ffff00"/>
                <w:u w:val="single"/>
                <w:shd w:fill="auto" w:val="clear"/>
                <w:rtl w:val="0"/>
              </w:rPr>
              <w:t xml:space="preserve">Avg TSM</w:t>
            </w:r>
          </w:p>
        </w:tc>
        <w:tc>
          <w:tcPr>
            <w:shd w:fill="990099"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b w:val="1"/>
                <w:i w:val="1"/>
                <w:color w:val="ffff00"/>
                <w:u w:val="single"/>
                <w:shd w:fill="auto" w:val="clear"/>
              </w:rPr>
            </w:pPr>
            <w:r w:rsidDel="00000000" w:rsidR="00000000" w:rsidRPr="00000000">
              <w:rPr>
                <w:color w:val="ffff00"/>
                <w:shd w:fill="auto" w:val="clear"/>
                <w:rtl w:val="0"/>
              </w:rPr>
              <w:t xml:space="preserve"> </w:t>
            </w:r>
            <w:r w:rsidDel="00000000" w:rsidR="00000000" w:rsidRPr="00000000">
              <w:rPr>
                <w:b w:val="1"/>
                <w:i w:val="1"/>
                <w:color w:val="ffff00"/>
                <w:u w:val="single"/>
                <w:shd w:fill="auto" w:val="clear"/>
                <w:rtl w:val="0"/>
              </w:rPr>
              <w:t xml:space="preserve">Std. Deviation 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2.637</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0.138</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1.632</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1.393</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0.133</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1.229</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1.242</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0.101</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2.672</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1.202</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0.071</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1.474</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1.927</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2.087</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1.389</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1.586</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1.010</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0.130</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1.133</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1.471</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0.118</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3.070</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1.456</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2.497</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1.307</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0.110</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1.791</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1.268</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0.159</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1.528</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1.746</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24</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1.793</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b w:val="1"/>
                <w:i w:val="1"/>
                <w:color w:val="ff0000"/>
                <w:u w:val="single"/>
                <w:shd w:fill="auto" w:val="clear"/>
              </w:rPr>
            </w:pPr>
            <w:r w:rsidDel="00000000" w:rsidR="00000000" w:rsidRPr="00000000">
              <w:rPr>
                <w:b w:val="1"/>
                <w:i w:val="1"/>
                <w:color w:val="ff0000"/>
                <w:u w:val="single"/>
                <w:shd w:fill="auto" w:val="clear"/>
                <w:rtl w:val="0"/>
              </w:rPr>
              <w:t xml:space="preserve">Control</w:t>
            </w:r>
          </w:p>
        </w:tc>
        <w:tc>
          <w:tcPr>
            <w:shd w:fill="000000"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b w:val="1"/>
                <w:i w:val="1"/>
                <w:color w:val="ff0000"/>
                <w:shd w:fill="auto" w:val="clear"/>
              </w:rPr>
            </w:pPr>
            <w:r w:rsidDel="00000000" w:rsidR="00000000" w:rsidRPr="00000000">
              <w:rPr>
                <w:b w:val="1"/>
                <w:i w:val="1"/>
                <w:color w:val="ff0000"/>
                <w:shd w:fill="auto" w:val="clear"/>
                <w:rtl w:val="0"/>
              </w:rPr>
              <w:t xml:space="preserve">1.721</w:t>
            </w:r>
          </w:p>
        </w:tc>
        <w:tc>
          <w:tcPr>
            <w:shd w:fill="000000"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b w:val="1"/>
                <w:i w:val="1"/>
                <w:color w:val="ff0000"/>
                <w:shd w:fill="auto" w:val="clear"/>
              </w:rPr>
            </w:pPr>
            <w:r w:rsidDel="00000000" w:rsidR="00000000" w:rsidRPr="00000000">
              <w:rPr>
                <w:b w:val="1"/>
                <w:i w:val="1"/>
                <w:color w:val="ff0000"/>
                <w:shd w:fill="auto" w:val="clear"/>
                <w:rtl w:val="0"/>
              </w:rPr>
              <w:t xml:space="preserve">0.130</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above graph displays the data that was obtained. Until we are able to individually compare the assay, we cannot be 100% certain that the data is accurate for the samples collected. However, it can be assumed that if the </w:t>
      </w:r>
      <w:hyperlink r:id="rId9">
        <w:r w:rsidDel="00000000" w:rsidR="00000000" w:rsidRPr="00000000">
          <w:rPr>
            <w:color w:val="0000ee"/>
            <w:u w:val="single"/>
            <w:shd w:fill="auto" w:val="clear"/>
            <w:rtl w:val="0"/>
          </w:rPr>
          <w:t xml:space="preserve">prediction</w:t>
        </w:r>
      </w:hyperlink>
      <w:r w:rsidDel="00000000" w:rsidR="00000000" w:rsidRPr="00000000">
        <w:rPr>
          <w:shd w:fill="auto" w:val="clear"/>
          <w:rtl w:val="0"/>
        </w:rPr>
        <w:t xml:space="preserve"> is correct, then the peaks shown are from those individuals that had a higher repetition of telomeres, and possibly more </w:t>
      </w:r>
      <w:hyperlink r:id="rId10">
        <w:r w:rsidDel="00000000" w:rsidR="00000000" w:rsidRPr="00000000">
          <w:rPr>
            <w:color w:val="0000ee"/>
            <w:u w:val="single"/>
            <w:shd w:fill="auto" w:val="clear"/>
            <w:rtl w:val="0"/>
          </w:rPr>
          <w:t xml:space="preserve">telomerase</w:t>
        </w:r>
      </w:hyperlink>
      <w:r w:rsidDel="00000000" w:rsidR="00000000" w:rsidRPr="00000000">
        <w:rPr>
          <w:shd w:fill="auto" w:val="clear"/>
          <w:rtl w:val="0"/>
        </w:rPr>
        <w:t xml:space="preserve"> in their cells.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TERMS.HTML" TargetMode="External"/><Relationship Id="rId9" Type="http://schemas.openxmlformats.org/officeDocument/2006/relationships/hyperlink" Target="http://docs.google.com/HYPO.HTML" TargetMode="External"/><Relationship Id="rId5" Type="http://schemas.openxmlformats.org/officeDocument/2006/relationships/styles" Target="styles.xml"/><Relationship Id="rId6" Type="http://schemas.openxmlformats.org/officeDocument/2006/relationships/hyperlink" Target="http://www.geron.com/" TargetMode="External"/><Relationship Id="rId7" Type="http://schemas.openxmlformats.org/officeDocument/2006/relationships/hyperlink" Target="http://docs.google.com/TERMS.HTML#telomerase" TargetMode="External"/><Relationship Id="rId8" Type="http://schemas.openxmlformats.org/officeDocument/2006/relationships/hyperlink" Target="http://docs.google.com/TERMS.HTML#telom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