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color w:val="990099"/>
          <w:u w:val="single"/>
          <w:shd w:fill="auto" w:val="clear"/>
        </w:rPr>
      </w:pPr>
      <w:r w:rsidDel="00000000" w:rsidR="00000000" w:rsidRPr="00000000">
        <w:rPr>
          <w:b w:val="1"/>
          <w:i w:val="1"/>
          <w:color w:val="990099"/>
          <w:u w:val="single"/>
          <w:shd w:fill="auto" w:val="clear"/>
          <w:rtl w:val="0"/>
        </w:rPr>
        <w:t xml:space="preserve">Hypothesis: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The age of humans can be determined by the strength of telomerase in the cells.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color w:val="990099"/>
          <w:u w:val="single"/>
          <w:shd w:fill="auto" w:val="clear"/>
        </w:rPr>
      </w:pPr>
      <w:r w:rsidDel="00000000" w:rsidR="00000000" w:rsidRPr="00000000">
        <w:rPr>
          <w:b w:val="1"/>
          <w:i w:val="1"/>
          <w:color w:val="990099"/>
          <w:u w:val="single"/>
          <w:shd w:fill="auto" w:val="clear"/>
          <w:rtl w:val="0"/>
        </w:rPr>
        <w:t xml:space="preserve">Prediction: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If there is a correlation between the biological age of a person and the concentration of telomeres in the chromosomes, then people who are chronologically older should exhibit a lesser concentration of telomeres on their chromosomes.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