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1872.0000000000002"/>
        <w:gridCol w:w="2901.6000000000004"/>
        <w:gridCol w:w="4586.4"/>
        <w:tblGridChange w:id="0">
          <w:tblGrid>
            <w:gridCol w:w="1872.0000000000002"/>
            <w:gridCol w:w="2901.6000000000004"/>
            <w:gridCol w:w="4586.4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antibiotic dish with concentrations of 0.002mg/ul (A), 0.0015mg/ul (B), and 0.001mg/ul (C)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Antibiotic dish with concentration of .0005mg/ul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garlic dish with concentrations of 1.45mg/ul (A), 1.0875mg/ul (B), and 0.725 mg/ul (C)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garlic dish with concentrations of 0.3625mg/ul (D), pure distilled water (E), and nothing (F)</w:t>
            </w:r>
          </w:p>
        </w:tc>
      </w:tr>
    </w:tbl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color w:val="0000ee"/>
          <w:u w:val="single"/>
        </w:rPr>
      </w:pPr>
      <w:hyperlink r:id="rId6">
        <w:r w:rsidDel="00000000" w:rsidR="00000000" w:rsidRPr="00000000">
          <w:rPr>
            <w:rFonts w:ascii="Tahoma" w:cs="Tahoma" w:eastAsia="Tahoma" w:hAnsi="Tahoma"/>
            <w:color w:val="0000ee"/>
            <w:u w:val="single"/>
            <w:rtl w:val="0"/>
          </w:rPr>
          <w:t xml:space="preserve">Images of Garlic Dishes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This Web Site is Best viewed with 256 or more colors.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For More Information about Creekwatch, please contact Eric Thiel at </w:t>
      </w:r>
      <w:hyperlink r:id="rId7">
        <w:r w:rsidDel="00000000" w:rsidR="00000000" w:rsidRPr="00000000">
          <w:rPr>
            <w:rFonts w:ascii="Tahoma" w:cs="Tahoma" w:eastAsia="Tahoma" w:hAnsi="Tahoma"/>
            <w:i w:val="1"/>
            <w:color w:val="0000ee"/>
            <w:u w:val="single"/>
            <w:rtl w:val="0"/>
          </w:rPr>
          <w:t xml:space="preserve">ethiel@pleasanton.k12.ca.us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dish2.htm" TargetMode="External"/><Relationship Id="rId7" Type="http://schemas.openxmlformats.org/officeDocument/2006/relationships/hyperlink" Target="mailto:ethiel@pleasanton.k12.ca.u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