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    </w:t>
      </w:r>
    </w:p>
    <w:tbl>
      <w:tblPr>
        <w:tblStyle w:val="Table1"/>
        <w:tblW w:w="9360.0" w:type="dxa"/>
        <w:jc w:val="left"/>
        <w:tblInd w:w="0.0" w:type="pct"/>
        <w:tblLayout w:type="fixed"/>
        <w:tblLook w:val="0600"/>
      </w:tblPr>
      <w:tblGrid>
        <w:gridCol w:w="2340"/>
        <w:gridCol w:w="7020"/>
        <w:tblGridChange w:id="0">
          <w:tblGrid>
            <w:gridCol w:w="2340"/>
            <w:gridCol w:w="702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sz w:val="36"/>
                <w:szCs w:val="36"/>
                <w:rtl w:val="0"/>
              </w:rPr>
              <w:t xml:space="preserve">Here are the fossils that I identified</w:t>
            </w: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What: Chesapecten</w:t>
            </w:r>
          </w:p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When: Miocene through Pliocene Epoch</w:t>
            </w:r>
          </w:p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Where: Atlantic Coastal Plain</w:t>
            </w:r>
          </w:p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These three fossils of the same species are all embeded in the same matrix, the same rock.</w:t>
            </w:r>
          </w:p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What: Rangia</w:t>
            </w:r>
          </w:p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When: Miocene through Recent</w:t>
            </w:r>
          </w:p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Where: Atlantic, Pacific, and Gulf Coastal Plains</w:t>
            </w:r>
          </w:p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Here we see two sides of a bi-valve.</w:t>
            </w:r>
          </w:p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What: Superfamily Corbicullacea</w:t>
            </w:r>
          </w:p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When: Middle Jurassic through Recent</w:t>
            </w:r>
          </w:p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Where: ?</w:t>
            </w:r>
          </w:p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This Bivalve was larger than the options in the Field Guide, but it's structure indicates that it is in the superfamily Corbicullacea.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What: Ilymatogyra</w:t>
            </w:r>
          </w:p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When: Upper Cretateous</w:t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Where: Oklahoma And Texas</w:t>
            </w:r>
          </w:p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Although this fossil seems a little out of place, it is not uncommon for a fossil to be that distanced.</w:t>
            </w:r>
          </w:p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Table:The geological age, chronological age, and wherebouts of each organism.</w:t>
            </w:r>
          </w:p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Graph: The span of time each organism lived in.</w:t>
            </w:r>
          </w:p>
        </w:tc>
      </w:tr>
    </w:tbl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ahoma" w:cs="Tahoma" w:eastAsia="Tahoma" w:hAnsi="Tahoma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ahoma" w:cs="Tahoma" w:eastAsia="Tahoma" w:hAnsi="Tahoma"/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Tahoma" w:cs="Tahoma" w:eastAsia="Tahoma" w:hAnsi="Tahoma"/>
          <w:i w:val="1"/>
          <w:rtl w:val="0"/>
        </w:rPr>
        <w:t xml:space="preserve">This Web Site is Best viewed with 256 or more colors.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ahoma" w:cs="Tahoma" w:eastAsia="Tahoma" w:hAnsi="Tahoma"/>
          <w:i w:val="1"/>
          <w:color w:val="0000ee"/>
          <w:u w:val="single"/>
        </w:rPr>
      </w:pPr>
      <w:r w:rsidDel="00000000" w:rsidR="00000000" w:rsidRPr="00000000">
        <w:rPr>
          <w:rFonts w:ascii="Tahoma" w:cs="Tahoma" w:eastAsia="Tahoma" w:hAnsi="Tahoma"/>
          <w:i w:val="1"/>
          <w:rtl w:val="0"/>
        </w:rPr>
        <w:t xml:space="preserve">For More Information about Creekwatch, please contact Eric Thiel at </w:t>
      </w:r>
      <w:hyperlink r:id="rId6">
        <w:r w:rsidDel="00000000" w:rsidR="00000000" w:rsidRPr="00000000">
          <w:rPr>
            <w:rFonts w:ascii="Tahoma" w:cs="Tahoma" w:eastAsia="Tahoma" w:hAnsi="Tahoma"/>
            <w:i w:val="1"/>
            <w:color w:val="0000ee"/>
            <w:u w:val="single"/>
            <w:rtl w:val="0"/>
          </w:rPr>
          <w:t xml:space="preserve">ethiel@pleasanton.k12.ca.us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ahoma" w:cs="Tahoma" w:eastAsia="Tahoma" w:hAnsi="Tahoma"/>
          <w:i w:val="1"/>
          <w:color w:val="0000e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ahom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ethiel@pleasanton.k12.ca.us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