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00000000002" w:type="dxa"/>
        <w:jc w:val="left"/>
        <w:tblInd w:w="0.0" w:type="pct"/>
        <w:tblLayout w:type="fixed"/>
        <w:tblLook w:val="0600"/>
      </w:tblPr>
      <w:tblGrid>
        <w:gridCol w:w="387.3210295456426"/>
        <w:gridCol w:w="8972.678970454359"/>
        <w:tblGridChange w:id="0">
          <w:tblGrid>
            <w:gridCol w:w="387.3210295456426"/>
            <w:gridCol w:w="8972.67897045435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color w:val="000000"/>
                <w:sz w:val="28"/>
                <w:szCs w:val="28"/>
              </w:rPr>
            </w:pPr>
            <w:r w:rsidDel="00000000" w:rsidR="00000000" w:rsidRPr="00000000">
              <w:rPr>
                <w:rFonts w:ascii="Tahoma" w:cs="Tahoma" w:eastAsia="Tahoma" w:hAnsi="Tahoma"/>
                <w:color w:val="000000"/>
                <w:sz w:val="28"/>
                <w:szCs w:val="28"/>
                <w:rtl w:val="0"/>
              </w:rPr>
              <w:t xml:space="preserve">Hypothesis: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color w:val="000000"/>
                <w:sz w:val="28"/>
                <w:szCs w:val="28"/>
              </w:rPr>
            </w:pPr>
            <w:r w:rsidDel="00000000" w:rsidR="00000000" w:rsidRPr="00000000">
              <w:rPr>
                <w:rFonts w:ascii="Tahoma" w:cs="Tahoma" w:eastAsia="Tahoma" w:hAnsi="Tahoma"/>
                <w:color w:val="000000"/>
                <w:sz w:val="28"/>
                <w:szCs w:val="28"/>
                <w:rtl w:val="0"/>
              </w:rPr>
              <w:t xml:space="preserve">The fossils that can be found in the Sunol Regional Wilderness can be dated to prove that the ages of the rocks in the park varies from the Tertiary to the Cretaceous Period.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color w:val="000000"/>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color w:val="000000"/>
                <w:sz w:val="28"/>
                <w:szCs w:val="28"/>
              </w:rPr>
            </w:pPr>
            <w:r w:rsidDel="00000000" w:rsidR="00000000" w:rsidRPr="00000000">
              <w:rPr>
                <w:rFonts w:ascii="Tahoma" w:cs="Tahoma" w:eastAsia="Tahoma" w:hAnsi="Tahoma"/>
                <w:color w:val="000000"/>
                <w:sz w:val="28"/>
                <w:szCs w:val="28"/>
                <w:rtl w:val="0"/>
              </w:rPr>
              <w:t xml:space="preserve">Prediction: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color w:val="000000"/>
                <w:sz w:val="28"/>
                <w:szCs w:val="28"/>
              </w:rPr>
            </w:pPr>
            <w:r w:rsidDel="00000000" w:rsidR="00000000" w:rsidRPr="00000000">
              <w:rPr>
                <w:rFonts w:ascii="Tahoma" w:cs="Tahoma" w:eastAsia="Tahoma" w:hAnsi="Tahoma"/>
                <w:color w:val="000000"/>
                <w:sz w:val="28"/>
                <w:szCs w:val="28"/>
                <w:rtl w:val="0"/>
              </w:rPr>
              <w:t xml:space="preserve">If I find and identify fossils from the Sunol Regional Wilderness, then I will find that the age of these rocks range from the Tertiary to the Cretaceous Period.</w:t>
            </w:r>
          </w:p>
        </w:tc>
      </w:tr>
    </w:tbl>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color w:val="000000"/>
          <w:sz w:val="28"/>
          <w:szCs w:val="28"/>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color w:val="000000"/>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ahoma" w:cs="Tahoma" w:eastAsia="Tahoma" w:hAnsi="Tahoma"/>
          <w:color w:val="000000"/>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ahoma" w:cs="Tahoma" w:eastAsia="Tahoma" w:hAnsi="Tahoma"/>
          <w:color w:val="000000"/>
          <w:sz w:val="28"/>
          <w:szCs w:val="2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ahoma" w:cs="Tahoma" w:eastAsia="Tahoma" w:hAnsi="Tahoma"/>
          <w:color w:val="000000"/>
          <w:sz w:val="28"/>
          <w:szCs w:val="2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ahoma" w:cs="Tahoma" w:eastAsia="Tahoma" w:hAnsi="Tahoma"/>
          <w:color w:val="000000"/>
          <w:sz w:val="28"/>
          <w:szCs w:val="2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