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599999999999" w:type="dxa"/>
        <w:jc w:val="left"/>
        <w:tblInd w:w="0.0" w:type="pct"/>
        <w:tblLayout w:type="fixed"/>
        <w:tblLook w:val="0600"/>
      </w:tblPr>
      <w:tblGrid>
        <w:gridCol w:w="1527.5520000000001"/>
        <w:gridCol w:w="7458.047999999999"/>
        <w:tblGridChange w:id="0">
          <w:tblGrid>
            <w:gridCol w:w="1527.5520000000001"/>
            <w:gridCol w:w="7458.047999999999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color w:val="ff0099"/>
                <w:sz w:val="28"/>
                <w:szCs w:val="28"/>
                <w:rtl w:val="0"/>
              </w:rPr>
              <w:t xml:space="preserve">Hypothesis</w:t>
            </w:r>
            <w:r w:rsidDel="00000000" w:rsidR="00000000" w:rsidRPr="00000000">
              <w:rPr>
                <w:color w:val="ff0099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Doctors in the Tri-Valley community are contributing to the current problem of antibiotic resistant bacteria by the method in which they prescribe antibiotics and the frequency they prescribe antibiotics.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Prediction:</w:t>
            </w:r>
            <w:r w:rsidDel="00000000" w:rsidR="00000000" w:rsidRPr="00000000">
              <w:rPr>
                <w:rtl w:val="0"/>
              </w:rPr>
              <w:t xml:space="preserve"> If doctors in the Tri-Valley community do not vary the antibiotics they prescribe for bacterial infections, then they will contribute to the current problem of antibiotic resistant bacteria.</w:t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Copyright (C) 1998 Ho-Daddy Productions Inc.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Copyright (C) 1998 Lindsay &amp; Michelle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