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z w:val="48"/>
          <w:szCs w:val="48"/>
          <w:u w:val="single"/>
          <w:shd w:fill="auto" w:val="clear"/>
        </w:rPr>
      </w:pPr>
      <w:r w:rsidDel="00000000" w:rsidR="00000000" w:rsidRPr="00000000">
        <w:rPr>
          <w:sz w:val="48"/>
          <w:szCs w:val="48"/>
          <w:u w:val="single"/>
          <w:shd w:fill="auto" w:val="clear"/>
          <w:rtl w:val="0"/>
        </w:rPr>
        <w:t xml:space="preserve">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z w:val="48"/>
          <w:szCs w:val="48"/>
          <w:u w:val="single"/>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48"/>
          <w:szCs w:val="48"/>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the course of our experiments, many problems hindered our progress that could have been prevented.  For anyone who would like to conduct further experimentation on this subject, we would recommend a few improvements.  For one, do not attempt to regenerate African violet plants, as it is an impossible task.  When growing your quick plants, use many more samples to obtain more accurate results.  Another suggestion we have would be to vary the soil types and study the effect of MTBE in different conditions.  We found that MTBE had an effect at concentrations as low as 10 ppb.  If we could do this experiment again, we would focus more on the range of concentration under 100 ppb.  More accurate results in this range of concentration would be helpful in determining how hazardous MTBE is in levels commonly found in some water supplies.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 to Home Page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T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