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Results From the Survey                                                                                                     </w:t>
            </w:r>
          </w:p>
          <w:tbl>
            <w:tblPr>
              <w:tblStyle w:val="Table2"/>
              <w:tblW w:w="7488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96.6400000000003"/>
              <w:gridCol w:w="2845.4399999999996"/>
              <w:gridCol w:w="2545.92"/>
              <w:tblGridChange w:id="0">
                <w:tblGrid>
                  <w:gridCol w:w="2096.6400000000003"/>
                  <w:gridCol w:w="2845.4399999999996"/>
                  <w:gridCol w:w="2545.92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AGE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SEX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SCORE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18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20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19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18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10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20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12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20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7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8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38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15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17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2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Female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19 out of 20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54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Male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ahoma" w:cs="Tahoma" w:eastAsia="Tahoma" w:hAnsi="Tahoma"/>
                    </w:rPr>
                  </w:pPr>
                  <w:r w:rsidDel="00000000" w:rsidR="00000000" w:rsidRPr="00000000">
                    <w:rPr>
                      <w:rFonts w:ascii="Tahoma" w:cs="Tahoma" w:eastAsia="Tahoma" w:hAnsi="Tahoma"/>
                      <w:rtl w:val="0"/>
                    </w:rPr>
                    <w:t xml:space="preserve">11 out of 20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The percentage of items recalled correctley as a function of the retention interval duration.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 (from Peterson &amp; Peterson, 1959 by the American Psychological Association)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"Learning Language and Memory" by: John W. Donahoe and Michael G. Wessels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