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75.0" w:type="pct"/>
        <w:tblLayout w:type="fixed"/>
        <w:tblLook w:val="0600"/>
      </w:tblPr>
      <w:tblGrid>
        <w:gridCol w:w="842.4"/>
        <w:gridCol w:w="8517.6"/>
        <w:tblGridChange w:id="0">
          <w:tblGrid>
            <w:gridCol w:w="842.4"/>
            <w:gridCol w:w="8517.6"/>
          </w:tblGrid>
        </w:tblGridChange>
      </w:tblGrid>
      <w:tr>
        <w:trPr>
          <w:trHeight w:val="1500" w:hRule="atLeast"/>
        </w:trPr>
        <w:tc>
          <w:tcPr>
            <w:shd w:fill="000000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color w:val="ffff00"/>
                <w:sz w:val="28"/>
                <w:szCs w:val="28"/>
                <w:shd w:fill="auto" w:val="clear"/>
                <w:rtl w:val="0"/>
              </w:rPr>
              <w:t xml:space="preserve">[Note: Best if viewed at Full Screen]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36"/>
                <w:szCs w:val="36"/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1.  Environment Candada, A Primer on Environmental Citizenship. (Online) Available 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0000ee"/>
                  <w:u w:val="single"/>
                  <w:shd w:fill="auto" w:val="clear"/>
                  <w:rtl w:val="0"/>
                </w:rPr>
                <w:t xml:space="preserve">http://www.ns.ec.gc.ca/aeb/ssd/acid/acidfaq.html</w:t>
              </w:r>
            </w:hyperlink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, 13 April, 1999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2.  National Atmospheric Deposition Program. (Online) Available 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0000ee"/>
                  <w:u w:val="single"/>
                  <w:shd w:fill="auto" w:val="clear"/>
                  <w:rtl w:val="0"/>
                </w:rPr>
                <w:t xml:space="preserve">http://nadp.sws.uiuc.edu/</w:t>
              </w:r>
            </w:hyperlink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, 13 April, 1999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3.  Southern Nevada Environmental, Inc. (Online) Available 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0000ee"/>
                  <w:u w:val="single"/>
                  <w:shd w:fill="auto" w:val="clear"/>
                  <w:rtl w:val="0"/>
                </w:rPr>
                <w:t xml:space="preserve">http://www.snei.com/</w:t>
              </w:r>
            </w:hyperlink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, 12 April, 1999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4. 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0000ee"/>
                  <w:u w:val="single"/>
                  <w:shd w:fill="auto" w:val="clear"/>
                  <w:rtl w:val="0"/>
                </w:rPr>
                <w:t xml:space="preserve">Kelusza, Alex</w:t>
              </w:r>
            </w:hyperlink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. Frog Life Cycle. (Online) Available </w:t>
            </w: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0000ee"/>
                  <w:u w:val="single"/>
                  <w:shd w:fill="auto" w:val="clear"/>
                  <w:rtl w:val="0"/>
                </w:rPr>
                <w:t xml:space="preserve">http://www.geocities.com/TheTropics/1337/info.html</w:t>
              </w:r>
            </w:hyperlink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, 14 April, 1999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5. Cyphers, Mark and McCauley, Shane. Red- Legged Frog. (Online) Avaliable </w:t>
            </w: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0000ee"/>
                  <w:u w:val="single"/>
                  <w:shd w:fill="auto" w:val="clear"/>
                  <w:rtl w:val="0"/>
                </w:rPr>
                <w:t xml:space="preserve">McCauleyhttp://www.orecity.k12.or.us/ochs/departments/science/species/california_red-legged_frog.html</w:t>
              </w:r>
            </w:hyperlink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, 14 April, 1999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6.  Moore, Davids.  The Basic Practice of Statistics.  New York: W.H. Freeman and Co., 1995 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7. Raven, Peter H. and Johnson, George B. Biology. Third Edition. Dubuque, Iowa: Wm. C. Brown Publishers, 1995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ccffff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ccffff"/>
          <w:shd w:fill="auto" w:val="clear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i w:val="1"/>
          <w:color w:val="0000ee"/>
          <w:u w:val="single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ccffff"/>
          <w:shd w:fill="auto" w:val="clear"/>
          <w:rtl w:val="0"/>
        </w:rPr>
        <w:t xml:space="preserve">For More Information about Creekwatch, please contact Eric Thiel at</w:t>
      </w:r>
      <w:hyperlink r:id="rId12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shd w:fill="auto" w:val="clear"/>
            <w:rtl w:val="0"/>
          </w:rPr>
          <w:t xml:space="preserve"> ethiel@pleasanton.k12.ca.us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orecity.k12.or.us/ochs/departments/science/species/california_red-legged_frog.html" TargetMode="External"/><Relationship Id="rId10" Type="http://schemas.openxmlformats.org/officeDocument/2006/relationships/hyperlink" Target="http://www.geocities.com/TheTropics/1337/info.html" TargetMode="External"/><Relationship Id="rId12" Type="http://schemas.openxmlformats.org/officeDocument/2006/relationships/hyperlink" Target="mailto:ethiel@pleasanton.k12.ca.us" TargetMode="External"/><Relationship Id="rId9" Type="http://schemas.openxmlformats.org/officeDocument/2006/relationships/hyperlink" Target="mailto:kulesza@math.gmu.edu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ns.ec.gc.ca/aeb/ssd/acid/acidfaq.html" TargetMode="External"/><Relationship Id="rId7" Type="http://schemas.openxmlformats.org/officeDocument/2006/relationships/hyperlink" Target="http://nadp.sws.uiuc.edu/" TargetMode="External"/><Relationship Id="rId8" Type="http://schemas.openxmlformats.org/officeDocument/2006/relationships/hyperlink" Target="http://www.snei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