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Key:</w:t>
      </w:r>
    </w:p>
    <w:tbl>
      <w:tblPr>
        <w:tblStyle w:val="Table1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4999999999999"/>
        <w:gridCol w:w="8053.5"/>
        <w:tblGridChange w:id="0">
          <w:tblGrid>
            <w:gridCol w:w="796.4999999999999"/>
            <w:gridCol w:w="8053.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Concentration 1- 0.01g of antioxidant per 10.0g oil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Concentration 2- 0.05g of antioxidant per 10.0g oil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Concentration 3- 0.10g of antioxidant per 10.0g oil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Smell Tester 1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Smell Tester 2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�The numbers in the chart are based on a rubric from 0 to 4. 0 is no odor at all. 4 is a highly offensive, obviously rancid odor. Each chart is titled by T (time in days).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5 - All Concentrations at T=0</w:t>
      </w:r>
    </w:p>
    <w:tbl>
      <w:tblPr>
        <w:tblStyle w:val="Table2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b w:val="1"/>
          <w:rtl w:val="0"/>
        </w:rPr>
        <w:t xml:space="preserve">Table 6 - All Concentrations at T=1</w:t>
      </w:r>
    </w:p>
    <w:tbl>
      <w:tblPr>
        <w:tblStyle w:val="Table3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7 - All Concentrations at T=2</w:t>
      </w:r>
    </w:p>
    <w:tbl>
      <w:tblPr>
        <w:tblStyle w:val="Table4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  <w:r w:rsidDel="00000000" w:rsidR="00000000" w:rsidRPr="00000000">
        <w:rPr>
          <w:b w:val="1"/>
          <w:rtl w:val="0"/>
        </w:rPr>
        <w:t xml:space="preserve">Table 8 - All Concentrations at T=3</w:t>
      </w:r>
    </w:p>
    <w:tbl>
      <w:tblPr>
        <w:tblStyle w:val="Table5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9 - All Concentrations at T=4</w:t>
      </w:r>
    </w:p>
    <w:tbl>
      <w:tblPr>
        <w:tblStyle w:val="Table6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��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10 - All Concentrations at T=5</w:t>
      </w:r>
    </w:p>
    <w:tbl>
      <w:tblPr>
        <w:tblStyle w:val="Table7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3.625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11 - Concentrations 1 and 2 at T=6</w:t>
      </w:r>
    </w:p>
    <w:tbl>
      <w:tblPr>
        <w:tblStyle w:val="Table8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T=6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12 - Concentrations 1 and 2 at T=7</w:t>
      </w:r>
    </w:p>
    <w:tbl>
      <w:tblPr>
        <w:tblStyle w:val="Table9"/>
        <w:tblW w:w="885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tblGridChange w:id="0">
          <w:tblGrid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T=7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Antioxidant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C3/P2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 average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 average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Ginger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Vitamin 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Garlic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 tea extract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Rosemary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Sesame seed oil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Iron sulfate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X indicates unavailable data.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Hypothesis &amp; Prediction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Materials &amp; Procedure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Graphs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Recommendations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Bibliography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Acknowledgements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Amador Valley High School</w:t>
        </w:r>
      </w:hyperlink>
      <w:r w:rsidDel="00000000" w:rsidR="00000000" w:rsidRPr="00000000">
        <w:rPr>
          <w:sz w:val="16"/>
          <w:szCs w:val="16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Project Creek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�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RainForest/4124/NSOgraph.html" TargetMode="External"/><Relationship Id="rId10" Type="http://schemas.openxmlformats.org/officeDocument/2006/relationships/hyperlink" Target="http://www.geocities.com/RainForest/4124/NSOres.html" TargetMode="External"/><Relationship Id="rId13" Type="http://schemas.openxmlformats.org/officeDocument/2006/relationships/hyperlink" Target="http://www.geocities.com/RainForest/4124/NSOconc.html" TargetMode="External"/><Relationship Id="rId12" Type="http://schemas.openxmlformats.org/officeDocument/2006/relationships/hyperlink" Target="http://www.geocities.com/RainForest/4124/NSO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RainForest/4124/NSOmat.html" TargetMode="External"/><Relationship Id="rId15" Type="http://schemas.openxmlformats.org/officeDocument/2006/relationships/hyperlink" Target="http://www.geocities.com/RainForest/4124/NSObib.html" TargetMode="External"/><Relationship Id="rId14" Type="http://schemas.openxmlformats.org/officeDocument/2006/relationships/hyperlink" Target="http://www.geocities.com/RainForest/4124/NSOrec.html" TargetMode="External"/><Relationship Id="rId17" Type="http://schemas.openxmlformats.org/officeDocument/2006/relationships/hyperlink" Target="http://www.pleasanton.k12.ca.us/Amador/index.html" TargetMode="External"/><Relationship Id="rId16" Type="http://schemas.openxmlformats.org/officeDocument/2006/relationships/hyperlink" Target="http://www.geocities.com/RainForest/4124/NSOa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RainForest/4124/NSOmain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www.geocities.com/RainForest/4124/NSOintro.html" TargetMode="External"/><Relationship Id="rId8" Type="http://schemas.openxmlformats.org/officeDocument/2006/relationships/hyperlink" Target="http://www.geocities.com/RainForest/4124/NSOhy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