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color w:val="990000"/>
          <w:sz w:val="72"/>
          <w:szCs w:val="72"/>
          <w:shd w:fill="auto" w:val="clear"/>
        </w:rPr>
      </w:pPr>
      <w:r w:rsidDel="00000000" w:rsidR="00000000" w:rsidRPr="00000000">
        <w:rPr>
          <w:color w:val="990000"/>
          <w:sz w:val="72"/>
          <w:szCs w:val="72"/>
          <w:shd w:fill="auto" w:val="clear"/>
          <w:rtl w:val="0"/>
        </w:rPr>
        <w:t xml:space="preserve">Data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were the weights that we recorded for the mice.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4515.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7.5"/>
        <w:gridCol w:w="2257.5"/>
        <w:tblGridChange w:id="0">
          <w:tblGrid>
            <w:gridCol w:w="2257.5"/>
            <w:gridCol w:w="2257.5"/>
          </w:tblGrid>
        </w:tblGridChange>
      </w:tblGrid>
      <w:tr>
        <w:trPr>
          <w:trHeight w:val="240" w:hRule="atLeast"/>
        </w:trPr>
        <w:tc>
          <w:tcPr>
            <w:shd w:fill="009999"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Ginsing Mice</w:t>
            </w:r>
          </w:p>
        </w:tc>
        <w:tc>
          <w:tcPr>
            <w:shd w:fill="009999"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Nonginsing Mice</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20.4g</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23.3g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21.3g</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22.5g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14.8g</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17.1g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25.3g</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13.8g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20.1g</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18.6g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16.4g</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15.6g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16.2g</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18.4g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16.5g</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13.5g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18.0g</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18.3g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20.4g</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25.6g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21.2g</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15.4g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27.4g</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10.4g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17.6g</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19.0g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25.3g</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19.7g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Average</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Average</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60c45"/>
                <w:shd w:fill="auto" w:val="clear"/>
              </w:rPr>
            </w:pPr>
            <w:r w:rsidDel="00000000" w:rsidR="00000000" w:rsidRPr="00000000">
              <w:rPr>
                <w:color w:val="060c45"/>
                <w:shd w:fill="auto" w:val="clear"/>
                <w:rtl w:val="0"/>
              </w:rPr>
              <w:t xml:space="preserve"> 20.06g</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90d3f"/>
                <w:shd w:fill="auto" w:val="clear"/>
              </w:rPr>
            </w:pPr>
            <w:r w:rsidDel="00000000" w:rsidR="00000000" w:rsidRPr="00000000">
              <w:rPr>
                <w:color w:val="090d3f"/>
                <w:shd w:fill="auto" w:val="clear"/>
                <w:rtl w:val="0"/>
              </w:rPr>
              <w:t xml:space="preserve">17.94g</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As you can see from the data that the relative groups are about the same weight, therfore giving us strong similarity when it comes to ages of the mice, because typically the weight of a mouse increases in a linear fashion with age. We assumed we would have to achieve a similarity in ages because we figured that just as memory sometimes increases with age in humans, a similar situation might exist for the mice.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675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7.5"/>
        <w:gridCol w:w="2362.4999999999995"/>
        <w:gridCol w:w="1890.0000000000002"/>
        <w:tblGridChange w:id="0">
          <w:tblGrid>
            <w:gridCol w:w="2497.5"/>
            <w:gridCol w:w="2362.4999999999995"/>
            <w:gridCol w:w="1890.0000000000002"/>
          </w:tblGrid>
        </w:tblGridChange>
      </w:tblGrid>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Ginseng Mouse Weight (g)</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Dosage Of Ginseng (g)</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Mass Of Gel (g)</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20.4</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.064</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.105</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21.3</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.067</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.11</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14.8</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.047</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.077</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25.3</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.08</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.131</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20.1</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.063</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.103</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16.4</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.052</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.085</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16.2</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.051</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.084</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16.5</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.052</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.085</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.057</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.093</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20.4</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.064</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.105</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21.2</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.067</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.11</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27.4</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.086</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.141</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17.6</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.055</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.09</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25.3</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.08</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.131</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are our sample data for the dosage and equivalent gel application masses. These calculations were needed to convert the amount of ginseng from the various different units we had it in. We had to calculate the dosage per gram of body weight, then change this to how much ginseng gel was needed to facilitate this need because the ginseng gel was not pure ginseng.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sz w:val="36"/>
          <w:szCs w:val="36"/>
          <w:shd w:fill="auto" w:val="clear"/>
          <w:rtl w:val="0"/>
        </w:rPr>
        <w:t xml:space="preserve">Maze Running Times: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tbl>
      <w:tblPr>
        <w:tblStyle w:val="Table3"/>
        <w:tblW w:w="675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9.5286074127384"/>
        <w:gridCol w:w="1639.5286074127384"/>
        <w:gridCol w:w="388.629003238575"/>
        <w:gridCol w:w="1573.9474631162288"/>
        <w:gridCol w:w="1508.3663188197193"/>
        <w:tblGridChange w:id="0">
          <w:tblGrid>
            <w:gridCol w:w="1639.5286074127384"/>
            <w:gridCol w:w="1639.5286074127384"/>
            <w:gridCol w:w="388.629003238575"/>
            <w:gridCol w:w="1573.9474631162288"/>
            <w:gridCol w:w="1508.3663188197193"/>
          </w:tblGrid>
        </w:tblGridChange>
      </w:tblGrid>
      <w:tr>
        <w:trPr>
          <w:trHeight w:val="300" w:hRule="atLeast"/>
        </w:trPr>
        <w:tc>
          <w:tcPr>
            <w:shd w:fill="009999"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1st Run</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009999"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2nd Run</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300" w:hRule="atLeast"/>
        </w:trPr>
        <w:tc>
          <w:tcPr>
            <w:shd w:fill="87bdde"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Nonginsing Mice</w:t>
            </w:r>
          </w:p>
        </w:tc>
        <w:tc>
          <w:tcPr>
            <w:shd w:fill="5c91b3"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Ginsing Mice</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87bdde"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Nonginsing Mice</w:t>
            </w:r>
          </w:p>
        </w:tc>
        <w:tc>
          <w:tcPr>
            <w:shd w:fill="5187a8"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Ginsing Mice</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10s</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11s</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186s</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109s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14s</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80s</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47s</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14s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231s</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38s</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33s</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16s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240s</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85s</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70s</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31s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10s</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68s</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72s</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59s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35s</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72s</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65s</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26s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10s</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51s</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18s</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16s</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12s</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78s</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113s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50s</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14s</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20s</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12s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30s</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84s</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22s</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27s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49s</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49s</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31s</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50s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41s</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25s</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62s</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35s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32s</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16s</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10s</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35s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125s</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146s</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62s</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Average</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Average</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Average</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Average</w:t>
            </w:r>
          </w:p>
        </w:tc>
      </w:tr>
      <w:tr>
        <w:trPr>
          <w:trHeight w:val="300" w:hRule="atLeast"/>
        </w:trPr>
        <w:tc>
          <w:tcPr>
            <w:shd w:fill="87bdde"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63.8s</w:t>
            </w:r>
          </w:p>
        </w:tc>
        <w:tc>
          <w:tcPr>
            <w:shd w:fill="5c91b3"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53.6s</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1c7e8"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55.4s</w:t>
            </w:r>
          </w:p>
        </w:tc>
        <w:tc>
          <w:tcPr>
            <w:shd w:fill="5c91b3"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40.5s</w:t>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table represents our results for the running times of the mice. This data supports the conclusion that ginsing does increase the memory of mice in the way that both the first abd second run times for the ginseng mice were faster than those of the mice without the ginseng. In fact. the ginseng mice had an average of 10.2 seconds faster time than the nonginseng mice. They also improved in their secong run times by an average of 13.1 seconds versus the nonginseng mice's improvement of only 8.4 seconds.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This is a graph of the 1st run times for both the control (in blue) and the experimental (in red) mice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This is a graph of the second run timesfor both the control (in blue) and the experimnetal (in red) mice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 the average decrease in time for the mice being given ginseng was 13.1 seconds. The average decrease in time for the mice in the control group was 8.8 seconds. This shows that the mice that were subjected to ginseng showed a greater decrease in time, not to mention that both of thier runs were faster than the control groups'.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