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337.1428571428573" w:type="dxa"/>
              <w:jc w:val="left"/>
              <w:tblLayout w:type="fixed"/>
              <w:tblLook w:val="0600"/>
            </w:tblPr>
            <w:tblGrid>
              <w:gridCol w:w="85.03293209175561"/>
              <w:gridCol w:w="1167.076992959346"/>
              <w:gridCol w:w="85.03293209175561"/>
              <w:tblGridChange w:id="0">
                <w:tblGrid>
                  <w:gridCol w:w="85.03293209175561"/>
                  <w:gridCol w:w="1167.076992959346"/>
                  <w:gridCol w:w="85.03293209175561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20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color w:val="00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009900"/>
                      <w:sz w:val="48"/>
                      <w:szCs w:val="48"/>
                      <w:shd w:fill="auto" w:val="clear"/>
                      <w:rtl w:val="0"/>
                    </w:rPr>
                    <w:t xml:space="preserve">Thanks goes out to...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00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00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00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00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00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00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00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00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00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337.1428571428573" w:type="dxa"/>
              <w:jc w:val="left"/>
              <w:tblLayout w:type="fixed"/>
              <w:tblLook w:val="0600"/>
            </w:tblPr>
            <w:tblGrid>
              <w:gridCol w:w="62.85042806781938"/>
              <w:gridCol w:w="1211.4420010072186"/>
              <w:gridCol w:w="62.85042806781938"/>
              <w:tblGridChange w:id="0">
                <w:tblGrid>
                  <w:gridCol w:w="62.85042806781938"/>
                  <w:gridCol w:w="1211.4420010072186"/>
                  <w:gridCol w:w="62.85042806781938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00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00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00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6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00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El-Hawary, M. E.  "Electric Power."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u w:val="single"/>
                      <w:shd w:fill="auto" w:val="clear"/>
                      <w:rtl w:val="0"/>
                    </w:rPr>
                    <w:t xml:space="preserve">World Book Encyclopedia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  <w:rtl w:val="0"/>
                    </w:rPr>
                    <w:t xml:space="preserve">.                 </w:t>
                  </w:r>
                </w:p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  <w:rtl w:val="0"/>
                    </w:rPr>
                    <w:t xml:space="preserve">            1988 ed.</w:t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  <w:rtl w:val="0"/>
                    </w:rPr>
                    <w:t xml:space="preserve">Paul Hesse, the "Energy Expert" found at the</w:t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Energy Efficiency and Renewable Energy Network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Natural Resources Defense Council</w:t>
                    </w:r>
                  </w:hyperlink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  <w:rtl w:val="0"/>
                    </w:rPr>
                    <w:t xml:space="preserve"> (www.nrdc.org)</w:t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Environmental Poisoning Fact Sheet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Project Creekwatch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  <w:rtl w:val="0"/>
                    </w:rPr>
                    <w:t xml:space="preserve">The many helpful people at Tap-Plastics</w:t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  <w:rtl w:val="0"/>
                    </w:rPr>
                    <w:t xml:space="preserve">All the helpful direction-givers in Livermore</w:t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shd w:fill="auto" w:val="clear"/>
                      <w:rtl w:val="0"/>
                    </w:rPr>
                    <w:t xml:space="preserve">And of course�</w:t>
                  </w:r>
                </w:p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Mr. Thiel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337.1428571428573" w:type="dxa"/>
              <w:jc w:val="left"/>
              <w:tblLayout w:type="fixed"/>
              <w:tblLook w:val="0600"/>
            </w:tblPr>
            <w:tblGrid>
              <w:gridCol w:w="59.1983556012333"/>
              <w:gridCol w:w="1218.7461459403905"/>
              <w:gridCol w:w="59.1983556012333"/>
              <w:tblGridChange w:id="0">
                <w:tblGrid>
                  <w:gridCol w:w="59.1983556012333"/>
                  <w:gridCol w:w="1218.7461459403905"/>
                  <w:gridCol w:w="59.1983556012333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337.1428571428573" w:type="dxa"/>
              <w:jc w:val="left"/>
              <w:tblLayout w:type="fixed"/>
              <w:tblLook w:val="0600"/>
            </w:tblPr>
            <w:tblGrid>
              <w:gridCol w:w="103.25427468284613"/>
              <w:gridCol w:w="1130.6343077771648"/>
              <w:gridCol w:w="103.25427468284613"/>
              <w:tblGridChange w:id="0">
                <w:tblGrid>
                  <w:gridCol w:w="103.25427468284613"/>
                  <w:gridCol w:w="1130.6343077771648"/>
                  <w:gridCol w:w="103.25427468284613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6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rFonts w:ascii="Tahoma" w:cs="Tahoma" w:eastAsia="Tahoma" w:hAnsi="Tahoma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Table of Contents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www.pleasanton.k12.ca.us/avh_science/teachers/thiel.html" TargetMode="External"/><Relationship Id="rId9" Type="http://schemas.openxmlformats.org/officeDocument/2006/relationships/hyperlink" Target="http://www.pleasanton.k12.ca.us/avh_science/Creek/cree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ren.doe.gov" TargetMode="External"/><Relationship Id="rId7" Type="http://schemas.openxmlformats.org/officeDocument/2006/relationships/hyperlink" Target="http://www.nrdc.org" TargetMode="External"/><Relationship Id="rId8" Type="http://schemas.openxmlformats.org/officeDocument/2006/relationships/hyperlink" Target="http://pacbell.snap.com/main/page/pcp/0,3,-676,00.html?st.sn.sr.8.2_67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