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
      </w:pPr>
      <w:r>
        <w:rPr>
          <w:rFonts w:ascii="Calibri" w:hAnsi="Calibri"/>
          <w:b/>
          <w:color w:val="0B2545"/>
          <w:sz w:val="48"/>
        </w:rPr>
        <w:t>TEKNİK ALTYAPI DENETİM RAPORU</w:t>
      </w:r>
    </w:p>
    <w:p>
      <w:pPr>
        <w:spacing w:after="280"/>
      </w:pPr>
      <w:r>
        <w:rPr>
          <w:b/>
          <w:color w:val="1F4E79"/>
          <w:sz w:val="28"/>
        </w:rPr>
        <w:t>ŞahinSoft Ön Muhasebe, Stok, Cari ve Teklif Yönetim Sistemi</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E8EEF5"/>
            <w:vAlign w:val="center"/>
            <w:tcMar>
              <w:top w:w="90" w:type="dxa"/>
              <w:start w:w="120" w:type="dxa"/>
              <w:bottom w:w="90" w:type="dxa"/>
              <w:end w:w="120" w:type="dxa"/>
            </w:tcMar>
          </w:tcPr>
          <w:p>
            <w:pPr>
              <w:spacing w:after="0"/>
            </w:pPr>
            <w:r>
              <w:rPr>
                <w:b/>
                <w:color w:val="0B2545"/>
                <w:sz w:val="18"/>
              </w:rPr>
              <w:t>Alan</w:t>
            </w:r>
          </w:p>
        </w:tc>
        <w:tc>
          <w:tcPr>
            <w:tcW w:type="dxa" w:w="7344"/>
            <w:shd w:fill="E8EEF5"/>
            <w:vAlign w:val="center"/>
            <w:tcMar>
              <w:top w:w="90" w:type="dxa"/>
              <w:start w:w="120" w:type="dxa"/>
              <w:bottom w:w="90" w:type="dxa"/>
              <w:end w:w="120" w:type="dxa"/>
            </w:tcMar>
          </w:tcPr>
          <w:p>
            <w:pPr>
              <w:spacing w:after="0"/>
            </w:pPr>
            <w:r>
              <w:rPr>
                <w:b/>
                <w:color w:val="0B2545"/>
                <w:sz w:val="18"/>
              </w:rPr>
              <w:t>Bilgi</w:t>
            </w:r>
          </w:p>
        </w:tc>
      </w:tr>
      <w:tr>
        <w:tc>
          <w:tcPr>
            <w:tcW w:type="dxa" w:w="2232"/>
            <w:vAlign w:val="center"/>
            <w:tcMar>
              <w:top w:w="90" w:type="dxa"/>
              <w:start w:w="120" w:type="dxa"/>
              <w:bottom w:w="90" w:type="dxa"/>
              <w:end w:w="120" w:type="dxa"/>
            </w:tcMar>
          </w:tcPr>
          <w:p>
            <w:pPr>
              <w:spacing w:after="0" w:line="252" w:lineRule="auto"/>
            </w:pPr>
            <w:r>
              <w:rPr>
                <w:sz w:val="17"/>
              </w:rPr>
              <w:t>İncelenen çözüm</w:t>
            </w:r>
          </w:p>
        </w:tc>
        <w:tc>
          <w:tcPr>
            <w:tcW w:type="dxa" w:w="7344"/>
            <w:vAlign w:val="center"/>
            <w:tcMar>
              <w:top w:w="90" w:type="dxa"/>
              <w:start w:w="120" w:type="dxa"/>
              <w:bottom w:w="90" w:type="dxa"/>
              <w:end w:w="120" w:type="dxa"/>
            </w:tcMar>
          </w:tcPr>
          <w:p>
            <w:pPr>
              <w:spacing w:after="0" w:line="252" w:lineRule="auto"/>
            </w:pPr>
            <w:r>
              <w:rPr>
                <w:sz w:val="17"/>
              </w:rPr>
              <w:t>ASP.NET Core 10 / EF Core 10 / SQL Server 2022</w:t>
            </w:r>
          </w:p>
        </w:tc>
      </w:tr>
      <w:tr>
        <w:tc>
          <w:tcPr>
            <w:tcW w:type="dxa" w:w="2232"/>
            <w:vAlign w:val="center"/>
            <w:tcMar>
              <w:top w:w="90" w:type="dxa"/>
              <w:start w:w="120" w:type="dxa"/>
              <w:bottom w:w="90" w:type="dxa"/>
              <w:end w:w="120" w:type="dxa"/>
            </w:tcMar>
          </w:tcPr>
          <w:p>
            <w:pPr>
              <w:spacing w:after="0" w:line="252" w:lineRule="auto"/>
            </w:pPr>
            <w:r>
              <w:rPr>
                <w:sz w:val="17"/>
              </w:rPr>
              <w:t>Denetim kapsamı</w:t>
            </w:r>
          </w:p>
        </w:tc>
        <w:tc>
          <w:tcPr>
            <w:tcW w:type="dxa" w:w="7344"/>
            <w:vAlign w:val="center"/>
            <w:tcMar>
              <w:top w:w="90" w:type="dxa"/>
              <w:start w:w="120" w:type="dxa"/>
              <w:bottom w:w="90" w:type="dxa"/>
              <w:end w:w="120" w:type="dxa"/>
            </w:tcMar>
          </w:tcPr>
          <w:p>
            <w:pPr>
              <w:spacing w:after="0" w:line="252" w:lineRule="auto"/>
            </w:pPr>
            <w:r>
              <w:rPr>
                <w:sz w:val="17"/>
              </w:rPr>
              <w:t>Entity, ilişki, indeks, constraint, migration, servis, güvenlik ve modül olgunluğu</w:t>
            </w:r>
          </w:p>
        </w:tc>
      </w:tr>
      <w:tr>
        <w:tc>
          <w:tcPr>
            <w:tcW w:type="dxa" w:w="2232"/>
            <w:vAlign w:val="center"/>
            <w:tcMar>
              <w:top w:w="90" w:type="dxa"/>
              <w:start w:w="120" w:type="dxa"/>
              <w:bottom w:w="90" w:type="dxa"/>
              <w:end w:w="120" w:type="dxa"/>
            </w:tcMar>
          </w:tcPr>
          <w:p>
            <w:pPr>
              <w:spacing w:after="0" w:line="252" w:lineRule="auto"/>
            </w:pPr>
            <w:r>
              <w:rPr>
                <w:sz w:val="17"/>
              </w:rPr>
              <w:t>Denetim tarihi</w:t>
            </w:r>
          </w:p>
        </w:tc>
        <w:tc>
          <w:tcPr>
            <w:tcW w:type="dxa" w:w="7344"/>
            <w:vAlign w:val="center"/>
            <w:tcMar>
              <w:top w:w="90" w:type="dxa"/>
              <w:start w:w="120" w:type="dxa"/>
              <w:bottom w:w="90" w:type="dxa"/>
              <w:end w:w="120" w:type="dxa"/>
            </w:tcMar>
          </w:tcPr>
          <w:p>
            <w:pPr>
              <w:spacing w:after="0" w:line="252" w:lineRule="auto"/>
            </w:pPr>
            <w:r>
              <w:rPr>
                <w:sz w:val="17"/>
              </w:rPr>
              <w:t>27 Temmuz 2026</w:t>
            </w:r>
          </w:p>
        </w:tc>
      </w:tr>
      <w:tr>
        <w:tc>
          <w:tcPr>
            <w:tcW w:type="dxa" w:w="2232"/>
            <w:vAlign w:val="center"/>
            <w:tcMar>
              <w:top w:w="90" w:type="dxa"/>
              <w:start w:w="120" w:type="dxa"/>
              <w:bottom w:w="90" w:type="dxa"/>
              <w:end w:w="120" w:type="dxa"/>
            </w:tcMar>
          </w:tcPr>
          <w:p>
            <w:pPr>
              <w:spacing w:after="0" w:line="252" w:lineRule="auto"/>
            </w:pPr>
            <w:r>
              <w:rPr>
                <w:sz w:val="17"/>
              </w:rPr>
              <w:t>Sonuç</w:t>
            </w:r>
          </w:p>
        </w:tc>
        <w:tc>
          <w:tcPr>
            <w:tcW w:type="dxa" w:w="7344"/>
            <w:vAlign w:val="center"/>
            <w:tcMar>
              <w:top w:w="90" w:type="dxa"/>
              <w:start w:w="120" w:type="dxa"/>
              <w:bottom w:w="90" w:type="dxa"/>
              <w:end w:w="120" w:type="dxa"/>
            </w:tcMar>
          </w:tcPr>
          <w:p>
            <w:pPr>
              <w:spacing w:after="0" w:line="252" w:lineRule="auto"/>
            </w:pPr>
            <w:r>
              <w:rPr>
                <w:sz w:val="17"/>
              </w:rPr>
              <w:t>Temel veri modeli güçlü; canlı kullanımdan önce kritik altyapı düzeltmeleri ve uçtan uca testler gerekli</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576"/>
            <w:shd w:fill="E8EEF5"/>
            <w:tcMar>
              <w:top w:w="140" w:type="dxa"/>
              <w:start w:w="180" w:type="dxa"/>
              <w:bottom w:w="140" w:type="dxa"/>
              <w:end w:w="180" w:type="dxa"/>
            </w:tcMar>
          </w:tcPr>
          <w:p>
            <w:pPr>
              <w:spacing w:after="40"/>
            </w:pPr>
            <w:r>
              <w:rPr>
                <w:b/>
                <w:color w:val="0B2545"/>
              </w:rPr>
              <w:t xml:space="preserve">Raporun amacı  </w:t>
            </w:r>
            <w:r>
              <w:t>Bu belge yalnızca yapılanları anlatmaz. Hangi altyapının gerçekten çalışır durumda olduğunu, hangisinin yalnızca veritabanı modeli olarak bulunduğunu ve hangi risklerin giderilmeden canlıya çıkılmaması gerektiğini açıkça ayırır.</w:t>
            </w:r>
          </w:p>
        </w:tc>
      </w:tr>
    </w:tbl>
    <w:p>
      <w:pPr>
        <w:spacing w:after="0"/>
      </w:pPr>
    </w:p>
    <w:p>
      <w:pPr>
        <w:pStyle w:val="Heading1"/>
      </w:pPr>
      <w:r>
        <w:t>Yönetici özeti</w:t>
      </w:r>
    </w:p>
    <w:p>
      <w:r>
        <w:t>Çözüm; ürün, kategori, barkod, varyant, depo, stok hareketi, cari, teklif, alış/satış faturası, fiyat listesi, tahsilat/ödeme, kasa-banka, sipariş, irsaliye, masraf, çek-senet, sayım ve entegrasyon kayıtlarını kapsayan geniş bir ilişkisel modele sahiptir. Son derleme 0 hata ve 0 uyarı ile tamamlanmış, EF Core modeli ile son migration arasında bekleyen değişiklik bulunmadığı doğrulanmıştır.</w:t>
      </w:r>
    </w:p>
    <w:p>
      <w:r>
        <w:t>Bununla birlikte sistem henüz tamamlanmış bir ön muhasebe uygulaması değildir. Ürün kartı dışındaki modüllerin çoğu için kullanıcı ekranı ve controller yoktur. Bazı posting servisleri yazılmış olsa da iptal/ters kayıt, tahsilat posting, açılış stoğu, audit üretimi ve otomatik test altyapısı tamamlanmamıştır.</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96"/>
            <w:shd w:fill="E8EEF5"/>
            <w:vAlign w:val="center"/>
            <w:tcMar>
              <w:top w:w="90" w:type="dxa"/>
              <w:start w:w="120" w:type="dxa"/>
              <w:bottom w:w="90" w:type="dxa"/>
              <w:end w:w="120" w:type="dxa"/>
            </w:tcMar>
          </w:tcPr>
          <w:p>
            <w:pPr>
              <w:spacing w:after="0"/>
            </w:pPr>
            <w:r>
              <w:rPr>
                <w:b/>
                <w:color w:val="0B2545"/>
                <w:sz w:val="18"/>
              </w:rPr>
              <w:t>Durum</w:t>
            </w:r>
          </w:p>
        </w:tc>
        <w:tc>
          <w:tcPr>
            <w:tcW w:type="dxa" w:w="2592"/>
            <w:shd w:fill="E8EEF5"/>
            <w:vAlign w:val="center"/>
            <w:tcMar>
              <w:top w:w="90" w:type="dxa"/>
              <w:start w:w="120" w:type="dxa"/>
              <w:bottom w:w="90" w:type="dxa"/>
              <w:end w:w="120" w:type="dxa"/>
            </w:tcMar>
          </w:tcPr>
          <w:p>
            <w:pPr>
              <w:spacing w:after="0"/>
            </w:pPr>
            <w:r>
              <w:rPr>
                <w:b/>
                <w:color w:val="0B2545"/>
                <w:sz w:val="18"/>
              </w:rPr>
              <w:t>Konu</w:t>
            </w:r>
          </w:p>
        </w:tc>
        <w:tc>
          <w:tcPr>
            <w:tcW w:type="dxa" w:w="5688"/>
            <w:shd w:fill="E8EEF5"/>
            <w:vAlign w:val="center"/>
            <w:tcMar>
              <w:top w:w="90" w:type="dxa"/>
              <w:start w:w="120" w:type="dxa"/>
              <w:bottom w:w="90" w:type="dxa"/>
              <w:end w:w="120" w:type="dxa"/>
            </w:tcMar>
          </w:tcPr>
          <w:p>
            <w:pPr>
              <w:spacing w:after="0"/>
            </w:pPr>
            <w:r>
              <w:rPr>
                <w:b/>
                <w:color w:val="0B2545"/>
                <w:sz w:val="18"/>
              </w:rPr>
              <w:t>Denetim sonucu</w:t>
            </w:r>
          </w:p>
        </w:tc>
      </w:tr>
      <w:tr>
        <w:tc>
          <w:tcPr>
            <w:tcW w:type="dxa" w:w="1296"/>
            <w:vAlign w:val="center"/>
            <w:tcMar>
              <w:top w:w="90" w:type="dxa"/>
              <w:start w:w="120" w:type="dxa"/>
              <w:bottom w:w="90" w:type="dxa"/>
              <w:end w:w="120" w:type="dxa"/>
            </w:tcMar>
            <w:shd w:fill="E2F0D9"/>
          </w:tcPr>
          <w:p>
            <w:pPr>
              <w:spacing w:after="0" w:line="252" w:lineRule="auto"/>
            </w:pPr>
            <w:r>
              <w:rPr>
                <w:b/>
                <w:sz w:val="17"/>
              </w:rPr>
              <w:t>Hazır</w:t>
            </w:r>
          </w:p>
        </w:tc>
        <w:tc>
          <w:tcPr>
            <w:tcW w:type="dxa" w:w="2592"/>
            <w:vAlign w:val="center"/>
            <w:tcMar>
              <w:top w:w="90" w:type="dxa"/>
              <w:start w:w="120" w:type="dxa"/>
              <w:bottom w:w="90" w:type="dxa"/>
              <w:end w:w="120" w:type="dxa"/>
            </w:tcMar>
          </w:tcPr>
          <w:p>
            <w:pPr>
              <w:spacing w:after="0" w:line="252" w:lineRule="auto"/>
            </w:pPr>
            <w:r>
              <w:rPr>
                <w:sz w:val="17"/>
              </w:rPr>
              <w:t>Çözüm ve derleme</w:t>
            </w:r>
          </w:p>
        </w:tc>
        <w:tc>
          <w:tcPr>
            <w:tcW w:type="dxa" w:w="5688"/>
            <w:vAlign w:val="center"/>
            <w:tcMar>
              <w:top w:w="90" w:type="dxa"/>
              <w:start w:w="120" w:type="dxa"/>
              <w:bottom w:w="90" w:type="dxa"/>
              <w:end w:w="120" w:type="dxa"/>
            </w:tcMar>
          </w:tcPr>
          <w:p>
            <w:pPr>
              <w:spacing w:after="0" w:line="252" w:lineRule="auto"/>
            </w:pPr>
            <w:r>
              <w:rPr>
                <w:sz w:val="17"/>
              </w:rPr>
              <w:t>.NET 10 çözümü derleniyor; 0 hata, 0 uyarı.</w:t>
            </w:r>
          </w:p>
        </w:tc>
      </w:tr>
      <w:tr>
        <w:tc>
          <w:tcPr>
            <w:tcW w:type="dxa" w:w="1296"/>
            <w:vAlign w:val="center"/>
            <w:tcMar>
              <w:top w:w="90" w:type="dxa"/>
              <w:start w:w="120" w:type="dxa"/>
              <w:bottom w:w="90" w:type="dxa"/>
              <w:end w:w="120" w:type="dxa"/>
            </w:tcMar>
            <w:shd w:fill="E2F0D9"/>
          </w:tcPr>
          <w:p>
            <w:pPr>
              <w:spacing w:after="0" w:line="252" w:lineRule="auto"/>
            </w:pPr>
            <w:r>
              <w:rPr>
                <w:b/>
                <w:sz w:val="17"/>
              </w:rPr>
              <w:t>Hazır</w:t>
            </w:r>
          </w:p>
        </w:tc>
        <w:tc>
          <w:tcPr>
            <w:tcW w:type="dxa" w:w="2592"/>
            <w:vAlign w:val="center"/>
            <w:tcMar>
              <w:top w:w="90" w:type="dxa"/>
              <w:start w:w="120" w:type="dxa"/>
              <w:bottom w:w="90" w:type="dxa"/>
              <w:end w:w="120" w:type="dxa"/>
            </w:tcMar>
          </w:tcPr>
          <w:p>
            <w:pPr>
              <w:spacing w:after="0" w:line="252" w:lineRule="auto"/>
            </w:pPr>
            <w:r>
              <w:rPr>
                <w:sz w:val="17"/>
              </w:rPr>
              <w:t>EF Core model uyumu</w:t>
            </w:r>
          </w:p>
        </w:tc>
        <w:tc>
          <w:tcPr>
            <w:tcW w:type="dxa" w:w="5688"/>
            <w:vAlign w:val="center"/>
            <w:tcMar>
              <w:top w:w="90" w:type="dxa"/>
              <w:start w:w="120" w:type="dxa"/>
              <w:bottom w:w="90" w:type="dxa"/>
              <w:end w:w="120" w:type="dxa"/>
            </w:tcMar>
          </w:tcPr>
          <w:p>
            <w:pPr>
              <w:spacing w:after="0" w:line="252" w:lineRule="auto"/>
            </w:pPr>
            <w:r>
              <w:rPr>
                <w:sz w:val="17"/>
              </w:rPr>
              <w:t>Son migration ile model uyumlu; pending model change yok.</w:t>
            </w:r>
          </w:p>
        </w:tc>
      </w:tr>
      <w:tr>
        <w:tc>
          <w:tcPr>
            <w:tcW w:type="dxa" w:w="1296"/>
            <w:vAlign w:val="center"/>
            <w:tcMar>
              <w:top w:w="90" w:type="dxa"/>
              <w:start w:w="120" w:type="dxa"/>
              <w:bottom w:w="90" w:type="dxa"/>
              <w:end w:w="120" w:type="dxa"/>
            </w:tcMar>
            <w:shd w:fill="E2F0D9"/>
          </w:tcPr>
          <w:p>
            <w:pPr>
              <w:spacing w:after="0" w:line="252" w:lineRule="auto"/>
            </w:pPr>
            <w:r>
              <w:rPr>
                <w:b/>
                <w:sz w:val="17"/>
              </w:rPr>
              <w:t>Hazır</w:t>
            </w:r>
          </w:p>
        </w:tc>
        <w:tc>
          <w:tcPr>
            <w:tcW w:type="dxa" w:w="2592"/>
            <w:vAlign w:val="center"/>
            <w:tcMar>
              <w:top w:w="90" w:type="dxa"/>
              <w:start w:w="120" w:type="dxa"/>
              <w:bottom w:w="90" w:type="dxa"/>
              <w:end w:w="120" w:type="dxa"/>
            </w:tcMar>
          </w:tcPr>
          <w:p>
            <w:pPr>
              <w:spacing w:after="0" w:line="252" w:lineRule="auto"/>
            </w:pPr>
            <w:r>
              <w:rPr>
                <w:sz w:val="17"/>
              </w:rPr>
              <w:t>Temel ilişkisel şema</w:t>
            </w:r>
          </w:p>
        </w:tc>
        <w:tc>
          <w:tcPr>
            <w:tcW w:type="dxa" w:w="5688"/>
            <w:vAlign w:val="center"/>
            <w:tcMar>
              <w:top w:w="90" w:type="dxa"/>
              <w:start w:w="120" w:type="dxa"/>
              <w:bottom w:w="90" w:type="dxa"/>
              <w:end w:w="120" w:type="dxa"/>
            </w:tcMar>
          </w:tcPr>
          <w:p>
            <w:pPr>
              <w:spacing w:after="0" w:line="252" w:lineRule="auto"/>
            </w:pPr>
            <w:r>
              <w:rPr>
                <w:sz w:val="17"/>
              </w:rPr>
              <w:t>Ana tablolar, foreign key’ler, indeksler ve pek çok check constraint tanımlı.</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Stok posting</w:t>
            </w:r>
          </w:p>
        </w:tc>
        <w:tc>
          <w:tcPr>
            <w:tcW w:type="dxa" w:w="5688"/>
            <w:vAlign w:val="center"/>
            <w:tcMar>
              <w:top w:w="90" w:type="dxa"/>
              <w:start w:w="120" w:type="dxa"/>
              <w:bottom w:w="90" w:type="dxa"/>
              <w:end w:w="120" w:type="dxa"/>
            </w:tcMar>
          </w:tcPr>
          <w:p>
            <w:pPr>
              <w:spacing w:after="0" w:line="252" w:lineRule="auto"/>
            </w:pPr>
            <w:r>
              <w:rPr>
                <w:sz w:val="17"/>
              </w:rPr>
              <w:t>Fatura, transfer, stok fişi ve sayım servisleri var; ekran, iptal ve tam tutarlılık testleri eksik.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Cari ve finans</w:t>
            </w:r>
          </w:p>
        </w:tc>
        <w:tc>
          <w:tcPr>
            <w:tcW w:type="dxa" w:w="5688"/>
            <w:vAlign w:val="center"/>
            <w:tcMar>
              <w:top w:w="90" w:type="dxa"/>
              <w:start w:w="120" w:type="dxa"/>
              <w:bottom w:w="90" w:type="dxa"/>
              <w:end w:w="120" w:type="dxa"/>
            </w:tcMar>
          </w:tcPr>
          <w:p>
            <w:pPr>
              <w:spacing w:after="0" w:line="252" w:lineRule="auto"/>
            </w:pPr>
            <w:r>
              <w:rPr>
                <w:sz w:val="17"/>
              </w:rPr>
              <w:t>Fatura ve tahsilat/ödeme posting servisleri var; ekran ve ters kayıt tamamlanmalı.</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Kimlik ve yetki</w:t>
            </w:r>
          </w:p>
        </w:tc>
        <w:tc>
          <w:tcPr>
            <w:tcW w:type="dxa" w:w="5688"/>
            <w:vAlign w:val="center"/>
            <w:tcMar>
              <w:top w:w="90" w:type="dxa"/>
              <w:start w:w="120" w:type="dxa"/>
              <w:bottom w:w="90" w:type="dxa"/>
              <w:end w:w="120" w:type="dxa"/>
            </w:tcMar>
          </w:tcPr>
          <w:p>
            <w:pPr>
              <w:spacing w:after="0" w:line="252" w:lineRule="auto"/>
            </w:pPr>
            <w:r>
              <w:rPr>
                <w:sz w:val="17"/>
              </w:rPr>
              <w:t>Identity ve authentication hattı var; rol bazlı ekran politikaları tamamlanmalı.</w:t>
            </w:r>
          </w:p>
        </w:tc>
      </w:tr>
      <w:tr>
        <w:tc>
          <w:tcPr>
            <w:tcW w:type="dxa" w:w="1296"/>
            <w:vAlign w:val="center"/>
            <w:tcMar>
              <w:top w:w="90" w:type="dxa"/>
              <w:start w:w="120" w:type="dxa"/>
              <w:bottom w:w="90" w:type="dxa"/>
              <w:end w:w="120" w:type="dxa"/>
            </w:tcMar>
            <w:shd w:fill="FCE4D6"/>
          </w:tcPr>
          <w:p>
            <w:pPr>
              <w:spacing w:after="0" w:line="252" w:lineRule="auto"/>
            </w:pPr>
            <w:r>
              <w:rPr>
                <w:b/>
                <w:sz w:val="17"/>
              </w:rPr>
              <w:t>Eksik</w:t>
            </w:r>
          </w:p>
        </w:tc>
        <w:tc>
          <w:tcPr>
            <w:tcW w:type="dxa" w:w="2592"/>
            <w:vAlign w:val="center"/>
            <w:tcMar>
              <w:top w:w="90" w:type="dxa"/>
              <w:start w:w="120" w:type="dxa"/>
              <w:bottom w:w="90" w:type="dxa"/>
              <w:end w:w="120" w:type="dxa"/>
            </w:tcMar>
          </w:tcPr>
          <w:p>
            <w:pPr>
              <w:spacing w:after="0" w:line="252" w:lineRule="auto"/>
            </w:pPr>
            <w:r>
              <w:rPr>
                <w:sz w:val="17"/>
              </w:rPr>
              <w:t>Otomatik test</w:t>
            </w:r>
          </w:p>
        </w:tc>
        <w:tc>
          <w:tcPr>
            <w:tcW w:type="dxa" w:w="5688"/>
            <w:vAlign w:val="center"/>
            <w:tcMar>
              <w:top w:w="90" w:type="dxa"/>
              <w:start w:w="120" w:type="dxa"/>
              <w:bottom w:w="90" w:type="dxa"/>
              <w:end w:w="120" w:type="dxa"/>
            </w:tcMar>
          </w:tcPr>
          <w:p>
            <w:pPr>
              <w:spacing w:after="0" w:line="252" w:lineRule="auto"/>
            </w:pPr>
            <w:r>
              <w:rPr>
                <w:sz w:val="17"/>
              </w:rPr>
              <w:t>Unit, integration ve SQL Server transaction testi bulunmuyor.</w:t>
            </w:r>
          </w:p>
        </w:tc>
      </w:tr>
      <w:tr>
        <w:tc>
          <w:tcPr>
            <w:tcW w:type="dxa" w:w="1296"/>
            <w:vAlign w:val="center"/>
            <w:tcMar>
              <w:top w:w="90" w:type="dxa"/>
              <w:start w:w="120" w:type="dxa"/>
              <w:bottom w:w="90" w:type="dxa"/>
              <w:end w:w="120" w:type="dxa"/>
            </w:tcMar>
            <w:shd w:fill="FCE4D6"/>
          </w:tcPr>
          <w:p>
            <w:pPr>
              <w:spacing w:after="0" w:line="252" w:lineRule="auto"/>
            </w:pPr>
            <w:r>
              <w:rPr>
                <w:b/>
                <w:sz w:val="17"/>
              </w:rPr>
              <w:t>Eksik</w:t>
            </w:r>
          </w:p>
        </w:tc>
        <w:tc>
          <w:tcPr>
            <w:tcW w:type="dxa" w:w="2592"/>
            <w:vAlign w:val="center"/>
            <w:tcMar>
              <w:top w:w="90" w:type="dxa"/>
              <w:start w:w="120" w:type="dxa"/>
              <w:bottom w:w="90" w:type="dxa"/>
              <w:end w:w="120" w:type="dxa"/>
            </w:tcMar>
          </w:tcPr>
          <w:p>
            <w:pPr>
              <w:spacing w:after="0" w:line="252" w:lineRule="auto"/>
            </w:pPr>
            <w:r>
              <w:rPr>
                <w:sz w:val="17"/>
              </w:rPr>
              <w:t>Canlı veritabanı uygulaması</w:t>
            </w:r>
          </w:p>
        </w:tc>
        <w:tc>
          <w:tcPr>
            <w:tcW w:type="dxa" w:w="5688"/>
            <w:vAlign w:val="center"/>
            <w:tcMar>
              <w:top w:w="90" w:type="dxa"/>
              <w:start w:w="120" w:type="dxa"/>
              <w:bottom w:w="90" w:type="dxa"/>
              <w:end w:w="120" w:type="dxa"/>
            </w:tcMar>
          </w:tcPr>
          <w:p>
            <w:pPr>
              <w:spacing w:after="0" w:line="252" w:lineRule="auto"/>
            </w:pPr>
            <w:r>
              <w:rPr>
                <w:sz w:val="17"/>
              </w:rPr>
              <w:t>Son migration sunucudaki SQL Server’a henüz uygulanmadı.</w:t>
            </w:r>
          </w:p>
        </w:tc>
      </w:tr>
    </w:tbl>
    <w:p>
      <w:pPr>
        <w:spacing w:after="20"/>
      </w:pPr>
    </w:p>
    <w:p>
      <w:pPr>
        <w:pStyle w:val="Heading1"/>
      </w:pPr>
      <w:r>
        <w:t>1. Denetlenen teknik yapı</w:t>
      </w:r>
    </w:p>
    <w:p>
      <w:pPr>
        <w:pStyle w:val="ListBullet"/>
      </w:pPr>
      <w:r>
        <w:t>Hedef çerçeve: .NET 10.0.</w:t>
      </w:r>
    </w:p>
    <w:p>
      <w:pPr>
        <w:pStyle w:val="ListBullet"/>
      </w:pPr>
      <w:r>
        <w:t>Web: ASP.NET Core MVC, Razor ve Bootstrap 5.</w:t>
      </w:r>
    </w:p>
    <w:p>
      <w:pPr>
        <w:pStyle w:val="ListBullet"/>
      </w:pPr>
      <w:r>
        <w:t>Kimlik: ASP.NET Core Identity; Yönetici ve Personel rolleri.</w:t>
      </w:r>
    </w:p>
    <w:p>
      <w:pPr>
        <w:pStyle w:val="ListBullet"/>
      </w:pPr>
      <w:r>
        <w:t>Veri erişimi: Entity Framework Core 10.0.10 ve SQL Server sağlayıcısı.</w:t>
      </w:r>
    </w:p>
    <w:p>
      <w:pPr>
        <w:pStyle w:val="ListBullet"/>
      </w:pPr>
      <w:r>
        <w:t>Veritabanı hedefi: SQL Server 2022 Express, SahinSoftDb.</w:t>
      </w:r>
    </w:p>
    <w:p>
      <w:pPr>
        <w:pStyle w:val="ListBullet"/>
      </w:pPr>
      <w:r>
        <w:t>Çözüm projeleri: Domain, Application, Infrastructure ve Web.</w:t>
      </w:r>
    </w:p>
    <w:p>
      <w:pPr>
        <w:pStyle w:val="ListBullet"/>
      </w:pPr>
      <w:r>
        <w:t>Migration zinciri: Identity’den katalog, iş çekirdeği, finans, gelişmiş stok, barkod politikaları ve bütünleşik ön muhasebe çekirdeğine uzanıyor.</w:t>
      </w:r>
    </w:p>
    <w:p>
      <w:pPr>
        <w:pStyle w:val="ListBullet"/>
      </w:pPr>
      <w:r>
        <w:t>Web sitesi kataloğundan 8 kategori ve 47 ürün için başlangıç verisi hazırlandı.</w:t>
      </w:r>
    </w:p>
    <w:p>
      <w:pPr>
        <w:pStyle w:val="ListBullet"/>
      </w:pPr>
      <w:r>
        <w:t>KDV tanımları: %0, %1, %10 ve %20.</w:t>
      </w:r>
    </w:p>
    <w:p>
      <w:pPr>
        <w:pStyle w:val="Heading1"/>
      </w:pPr>
      <w:r>
        <w:t>2. Katman mimarisi denetimi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12"/>
            <w:shd w:fill="E8EEF5"/>
            <w:vAlign w:val="center"/>
            <w:tcMar>
              <w:top w:w="90" w:type="dxa"/>
              <w:start w:w="120" w:type="dxa"/>
              <w:bottom w:w="90" w:type="dxa"/>
              <w:end w:w="120" w:type="dxa"/>
            </w:tcMar>
          </w:tcPr>
          <w:p>
            <w:pPr>
              <w:spacing w:after="0"/>
            </w:pPr>
            <w:r>
              <w:rPr>
                <w:b/>
                <w:color w:val="0B2545"/>
                <w:sz w:val="18"/>
              </w:rPr>
              <w:t>Katman</w:t>
            </w:r>
          </w:p>
        </w:tc>
        <w:tc>
          <w:tcPr>
            <w:tcW w:type="dxa" w:w="3528"/>
            <w:shd w:fill="E8EEF5"/>
            <w:vAlign w:val="center"/>
            <w:tcMar>
              <w:top w:w="90" w:type="dxa"/>
              <w:start w:w="120" w:type="dxa"/>
              <w:bottom w:w="90" w:type="dxa"/>
              <w:end w:w="120" w:type="dxa"/>
            </w:tcMar>
          </w:tcPr>
          <w:p>
            <w:pPr>
              <w:spacing w:after="0"/>
            </w:pPr>
            <w:r>
              <w:rPr>
                <w:b/>
                <w:color w:val="0B2545"/>
                <w:sz w:val="18"/>
              </w:rPr>
              <w:t>Mevcut durum</w:t>
            </w:r>
          </w:p>
        </w:tc>
        <w:tc>
          <w:tcPr>
            <w:tcW w:type="dxa" w:w="4536"/>
            <w:shd w:fill="E8EEF5"/>
            <w:vAlign w:val="center"/>
            <w:tcMar>
              <w:top w:w="90" w:type="dxa"/>
              <w:start w:w="120" w:type="dxa"/>
              <w:bottom w:w="90" w:type="dxa"/>
              <w:end w:w="120" w:type="dxa"/>
            </w:tcMar>
          </w:tcPr>
          <w:p>
            <w:pPr>
              <w:spacing w:after="0"/>
            </w:pPr>
            <w:r>
              <w:rPr>
                <w:b/>
                <w:color w:val="0B2545"/>
                <w:sz w:val="18"/>
              </w:rPr>
              <w:t>Değerlendirme</w:t>
            </w:r>
          </w:p>
        </w:tc>
      </w:tr>
      <w:tr>
        <w:tc>
          <w:tcPr>
            <w:tcW w:type="dxa" w:w="1512"/>
            <w:vAlign w:val="center"/>
            <w:tcMar>
              <w:top w:w="90" w:type="dxa"/>
              <w:start w:w="120" w:type="dxa"/>
              <w:bottom w:w="90" w:type="dxa"/>
              <w:end w:w="120" w:type="dxa"/>
            </w:tcMar>
          </w:tcPr>
          <w:p>
            <w:pPr>
              <w:spacing w:after="0" w:line="252" w:lineRule="auto"/>
            </w:pPr>
            <w:r>
              <w:rPr>
                <w:sz w:val="17"/>
              </w:rPr>
              <w:t>Domain</w:t>
            </w:r>
          </w:p>
        </w:tc>
        <w:tc>
          <w:tcPr>
            <w:tcW w:type="dxa" w:w="3528"/>
            <w:vAlign w:val="center"/>
            <w:tcMar>
              <w:top w:w="90" w:type="dxa"/>
              <w:start w:w="120" w:type="dxa"/>
              <w:bottom w:w="90" w:type="dxa"/>
              <w:end w:w="120" w:type="dxa"/>
            </w:tcMar>
          </w:tcPr>
          <w:p>
            <w:pPr>
              <w:spacing w:after="0" w:line="252" w:lineRule="auto"/>
            </w:pPr>
            <w:r>
              <w:rPr>
                <w:sz w:val="17"/>
              </w:rPr>
              <w:t>Entity ve enumlar burada.</w:t>
            </w:r>
          </w:p>
        </w:tc>
        <w:tc>
          <w:tcPr>
            <w:tcW w:type="dxa" w:w="4536"/>
            <w:vAlign w:val="center"/>
            <w:tcMar>
              <w:top w:w="90" w:type="dxa"/>
              <w:start w:w="120" w:type="dxa"/>
              <w:bottom w:w="90" w:type="dxa"/>
              <w:end w:w="120" w:type="dxa"/>
            </w:tcMar>
          </w:tcPr>
          <w:p>
            <w:pPr>
              <w:spacing w:after="0" w:line="252" w:lineRule="auto"/>
            </w:pPr>
            <w:r>
              <w:rPr>
                <w:sz w:val="17"/>
              </w:rPr>
              <w:t>Doğru başlangıç; iş kurallarının bir kısmı halen Web servislerinde.</w:t>
            </w:r>
          </w:p>
        </w:tc>
      </w:tr>
      <w:tr>
        <w:tc>
          <w:tcPr>
            <w:tcW w:type="dxa" w:w="1512"/>
            <w:vAlign w:val="center"/>
            <w:tcMar>
              <w:top w:w="90" w:type="dxa"/>
              <w:start w:w="120" w:type="dxa"/>
              <w:bottom w:w="90" w:type="dxa"/>
              <w:end w:w="120" w:type="dxa"/>
            </w:tcMar>
          </w:tcPr>
          <w:p>
            <w:pPr>
              <w:spacing w:after="0" w:line="252" w:lineRule="auto"/>
            </w:pPr>
            <w:r>
              <w:rPr>
                <w:sz w:val="17"/>
              </w:rPr>
              <w:t>Application</w:t>
            </w:r>
          </w:p>
        </w:tc>
        <w:tc>
          <w:tcPr>
            <w:tcW w:type="dxa" w:w="3528"/>
            <w:vAlign w:val="center"/>
            <w:tcMar>
              <w:top w:w="90" w:type="dxa"/>
              <w:start w:w="120" w:type="dxa"/>
              <w:bottom w:w="90" w:type="dxa"/>
              <w:end w:w="120" w:type="dxa"/>
            </w:tcMar>
          </w:tcPr>
          <w:p>
            <w:pPr>
              <w:spacing w:after="0" w:line="252" w:lineRule="auto"/>
            </w:pPr>
            <w:r>
              <w:rPr>
                <w:sz w:val="17"/>
              </w:rPr>
              <w:t>Proje var, içerik büyük ölçüde boş.</w:t>
            </w:r>
          </w:p>
        </w:tc>
        <w:tc>
          <w:tcPr>
            <w:tcW w:type="dxa" w:w="4536"/>
            <w:vAlign w:val="center"/>
            <w:tcMar>
              <w:top w:w="90" w:type="dxa"/>
              <w:start w:w="120" w:type="dxa"/>
              <w:bottom w:w="90" w:type="dxa"/>
              <w:end w:w="120" w:type="dxa"/>
            </w:tcMar>
          </w:tcPr>
          <w:p>
            <w:pPr>
              <w:spacing w:after="0" w:line="252" w:lineRule="auto"/>
            </w:pPr>
            <w:r>
              <w:rPr>
                <w:sz w:val="17"/>
              </w:rPr>
              <w:t>Use-case arayüzleri, DTO ve validasyonlar taşınmalı.</w:t>
            </w:r>
          </w:p>
        </w:tc>
      </w:tr>
      <w:tr>
        <w:tc>
          <w:tcPr>
            <w:tcW w:type="dxa" w:w="1512"/>
            <w:vAlign w:val="center"/>
            <w:tcMar>
              <w:top w:w="90" w:type="dxa"/>
              <w:start w:w="120" w:type="dxa"/>
              <w:bottom w:w="90" w:type="dxa"/>
              <w:end w:w="120" w:type="dxa"/>
            </w:tcMar>
          </w:tcPr>
          <w:p>
            <w:pPr>
              <w:spacing w:after="0" w:line="252" w:lineRule="auto"/>
            </w:pPr>
            <w:r>
              <w:rPr>
                <w:sz w:val="17"/>
              </w:rPr>
              <w:t>Infrastructure</w:t>
            </w:r>
          </w:p>
        </w:tc>
        <w:tc>
          <w:tcPr>
            <w:tcW w:type="dxa" w:w="3528"/>
            <w:vAlign w:val="center"/>
            <w:tcMar>
              <w:top w:w="90" w:type="dxa"/>
              <w:start w:w="120" w:type="dxa"/>
              <w:bottom w:w="90" w:type="dxa"/>
              <w:end w:w="120" w:type="dxa"/>
            </w:tcMar>
          </w:tcPr>
          <w:p>
            <w:pPr>
              <w:spacing w:after="0" w:line="252" w:lineRule="auto"/>
            </w:pPr>
            <w:r>
              <w:rPr>
                <w:sz w:val="17"/>
              </w:rPr>
              <w:t>Proje var, içerik büyük ölçüde boş.</w:t>
            </w:r>
          </w:p>
        </w:tc>
        <w:tc>
          <w:tcPr>
            <w:tcW w:type="dxa" w:w="4536"/>
            <w:vAlign w:val="center"/>
            <w:tcMar>
              <w:top w:w="90" w:type="dxa"/>
              <w:start w:w="120" w:type="dxa"/>
              <w:bottom w:w="90" w:type="dxa"/>
              <w:end w:w="120" w:type="dxa"/>
            </w:tcMar>
          </w:tcPr>
          <w:p>
            <w:pPr>
              <w:spacing w:after="0" w:line="252" w:lineRule="auto"/>
            </w:pPr>
            <w:r>
              <w:rPr>
                <w:sz w:val="17"/>
              </w:rPr>
              <w:t>DbContext, repository/entegrasyon ve dış servis uygulamaları burada olmalı.</w:t>
            </w:r>
          </w:p>
        </w:tc>
      </w:tr>
      <w:tr>
        <w:tc>
          <w:tcPr>
            <w:tcW w:type="dxa" w:w="1512"/>
            <w:vAlign w:val="center"/>
            <w:tcMar>
              <w:top w:w="90" w:type="dxa"/>
              <w:start w:w="120" w:type="dxa"/>
              <w:bottom w:w="90" w:type="dxa"/>
              <w:end w:w="120" w:type="dxa"/>
            </w:tcMar>
          </w:tcPr>
          <w:p>
            <w:pPr>
              <w:spacing w:after="0" w:line="252" w:lineRule="auto"/>
            </w:pPr>
            <w:r>
              <w:rPr>
                <w:sz w:val="17"/>
              </w:rPr>
              <w:t>Web</w:t>
            </w:r>
          </w:p>
        </w:tc>
        <w:tc>
          <w:tcPr>
            <w:tcW w:type="dxa" w:w="3528"/>
            <w:vAlign w:val="center"/>
            <w:tcMar>
              <w:top w:w="90" w:type="dxa"/>
              <w:start w:w="120" w:type="dxa"/>
              <w:bottom w:w="90" w:type="dxa"/>
              <w:end w:w="120" w:type="dxa"/>
            </w:tcMar>
          </w:tcPr>
          <w:p>
            <w:pPr>
              <w:spacing w:after="0" w:line="252" w:lineRule="auto"/>
            </w:pPr>
            <w:r>
              <w:rPr>
                <w:sz w:val="17"/>
              </w:rPr>
              <w:t>DbContext, migration, posting servisleri, controller ve UI burada.</w:t>
            </w:r>
          </w:p>
        </w:tc>
        <w:tc>
          <w:tcPr>
            <w:tcW w:type="dxa" w:w="4536"/>
            <w:vAlign w:val="center"/>
            <w:tcMar>
              <w:top w:w="90" w:type="dxa"/>
              <w:start w:w="120" w:type="dxa"/>
              <w:bottom w:w="90" w:type="dxa"/>
              <w:end w:w="120" w:type="dxa"/>
            </w:tcMar>
          </w:tcPr>
          <w:p>
            <w:pPr>
              <w:spacing w:after="0" w:line="252" w:lineRule="auto"/>
            </w:pPr>
            <w:r>
              <w:rPr>
                <w:sz w:val="17"/>
              </w:rPr>
              <w:t>Şu an çalışan merkez; katmanlı yapı fiziksel olarak var fakat sorumluluk ayrımı tamamlanmamış.</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576"/>
            <w:shd w:fill="FFF2CC"/>
            <w:tcMar>
              <w:top w:w="140" w:type="dxa"/>
              <w:start w:w="180" w:type="dxa"/>
              <w:bottom w:w="140" w:type="dxa"/>
              <w:end w:w="180" w:type="dxa"/>
            </w:tcMar>
          </w:tcPr>
          <w:p>
            <w:pPr>
              <w:spacing w:after="40"/>
            </w:pPr>
            <w:r>
              <w:rPr>
                <w:b/>
                <w:color w:val="0B2545"/>
              </w:rPr>
              <w:t xml:space="preserve">Altyapı kararı  </w:t>
            </w:r>
            <w:r>
              <w:t>Mevcut yapı prototip geliştirme için çalışır; büyüme hedefi açısından posting servisleri ve DbContext bağımlılıkları Application/Infrastructure katmanlarına ayrılmalıdır.</w:t>
            </w:r>
          </w:p>
        </w:tc>
      </w:tr>
    </w:tbl>
    <w:p>
      <w:pPr>
        <w:spacing w:after="0"/>
      </w:pPr>
    </w:p>
    <w:p>
      <w:pPr>
        <w:pStyle w:val="Heading1"/>
      </w:pPr>
      <w:r>
        <w:t>3. Ortak kayıt kimliği ve izlenebilirlik</w:t>
      </w:r>
    </w:p>
    <w:p>
      <w:r>
        <w:t>Domain’de EntityBase kullanan iş tablolarına hem sayısal Id hem de RecordId (GUID) verilmektedir. SQL Server tarafında RecordId için NEWSEQUENTIALID() varsayılanı ve benzersiz indeks tanımlanmıştır.</w:t>
      </w:r>
    </w:p>
    <w:p>
      <w:pPr>
        <w:pStyle w:val="ListBullet"/>
      </w:pPr>
      <w:r>
        <w:t>Id: hızlı iç ilişki ve clustered primary key amacıyla.</w:t>
      </w:r>
    </w:p>
    <w:p>
      <w:pPr>
        <w:pStyle w:val="ListBullet"/>
      </w:pPr>
      <w:r>
        <w:t>RecordId: dış sistem, API, senkronizasyon ve güvenli genel tanımlayıcı amacıyla.</w:t>
      </w:r>
    </w:p>
    <w:p>
      <w:pPr>
        <w:pStyle w:val="ListBullet"/>
      </w:pPr>
      <w:r>
        <w:t>CreatedAtUtc / UpdatedAtUtc: kayıt zaman takibi amacıyla.</w:t>
      </w:r>
    </w:p>
    <w:p>
      <w:pPr>
        <w:pStyle w:val="ListBullet"/>
      </w:pPr>
      <w:r>
        <w:t>ExternalRecordMapping: Dinosoft, Mikro veya başka kaynakların dış kimliklerini iç kayda bağlamak için.</w:t>
      </w:r>
    </w:p>
    <w:p>
      <w:pPr>
        <w:pStyle w:val="ListBullet"/>
      </w:pPr>
      <w:r>
        <w:t>IntegrationOutboxMessage: onaylanan olayların güvenilir entegrasyon kuyruğuna yazılması için.</w:t>
      </w:r>
    </w:p>
    <w:tbl>
      <w:tblPr>
        <w:tblW w:type="auto" w:w="0"/>
        <w:jc w:val="center"/>
        <w:tblLayout w:type="fixed"/>
        <w:tblLook w:firstColumn="1" w:firstRow="1" w:lastColumn="0" w:lastRow="0" w:noHBand="0" w:noVBand="1" w:val="04A0"/>
      </w:tblPr>
      <w:tblGrid>
        <w:gridCol w:w="9792"/>
      </w:tblGrid>
      <w:tr>
        <w:tc>
          <w:tcPr>
            <w:tcW w:type="dxa" w:w="9576"/>
            <w:shd w:fill="F2F4F7"/>
            <w:tcMar>
              <w:top w:w="140" w:type="dxa"/>
              <w:start w:w="180" w:type="dxa"/>
              <w:bottom w:w="140" w:type="dxa"/>
              <w:end w:w="180" w:type="dxa"/>
            </w:tcMar>
          </w:tcPr>
          <w:p>
            <w:pPr>
              <w:spacing w:after="40"/>
            </w:pPr>
            <w:r>
              <w:rPr>
                <w:b/>
                <w:color w:val="0B2545"/>
              </w:rPr>
              <w:t xml:space="preserve">Sınır  </w:t>
            </w:r>
            <w:r>
              <w:t>GUID altyapısı iş tablolarını kapsar; ASP.NET Identity kullanıcı tabloları kendi string kimlik yapısını kullanır. Bu normaldir.</w:t>
            </w:r>
          </w:p>
        </w:tc>
      </w:tr>
    </w:tbl>
    <w:p>
      <w:pPr>
        <w:spacing w:after="0"/>
      </w:pPr>
    </w:p>
    <w:p>
      <w:pPr>
        <w:pStyle w:val="Heading1"/>
      </w:pPr>
      <w:r>
        <w:t>4. Ana tablo grupları ve bağlantıları</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shd w:fill="E8EEF5"/>
            <w:vAlign w:val="center"/>
            <w:tcMar>
              <w:top w:w="90" w:type="dxa"/>
              <w:start w:w="120" w:type="dxa"/>
              <w:bottom w:w="90" w:type="dxa"/>
              <w:end w:w="120" w:type="dxa"/>
            </w:tcMar>
          </w:tcPr>
          <w:p>
            <w:pPr>
              <w:spacing w:after="0"/>
            </w:pPr>
            <w:r>
              <w:rPr>
                <w:b/>
                <w:color w:val="0B2545"/>
                <w:sz w:val="18"/>
              </w:rPr>
              <w:t>Grup</w:t>
            </w:r>
          </w:p>
        </w:tc>
        <w:tc>
          <w:tcPr>
            <w:tcW w:type="dxa" w:w="3960"/>
            <w:shd w:fill="E8EEF5"/>
            <w:vAlign w:val="center"/>
            <w:tcMar>
              <w:top w:w="90" w:type="dxa"/>
              <w:start w:w="120" w:type="dxa"/>
              <w:bottom w:w="90" w:type="dxa"/>
              <w:end w:w="120" w:type="dxa"/>
            </w:tcMar>
          </w:tcPr>
          <w:p>
            <w:pPr>
              <w:spacing w:after="0"/>
            </w:pPr>
            <w:r>
              <w:rPr>
                <w:b/>
                <w:color w:val="0B2545"/>
                <w:sz w:val="18"/>
              </w:rPr>
              <w:t>Başlıca tablolar</w:t>
            </w:r>
          </w:p>
        </w:tc>
        <w:tc>
          <w:tcPr>
            <w:tcW w:type="dxa" w:w="4032"/>
            <w:shd w:fill="E8EEF5"/>
            <w:vAlign w:val="center"/>
            <w:tcMar>
              <w:top w:w="90" w:type="dxa"/>
              <w:start w:w="120" w:type="dxa"/>
              <w:bottom w:w="90" w:type="dxa"/>
              <w:end w:w="120" w:type="dxa"/>
            </w:tcMar>
          </w:tcPr>
          <w:p>
            <w:pPr>
              <w:spacing w:after="0"/>
            </w:pPr>
            <w:r>
              <w:rPr>
                <w:b/>
                <w:color w:val="0B2545"/>
                <w:sz w:val="18"/>
              </w:rPr>
              <w:t>Bağlantı mantığı</w:t>
            </w:r>
          </w:p>
        </w:tc>
      </w:tr>
      <w:tr>
        <w:tc>
          <w:tcPr>
            <w:tcW w:type="dxa" w:w="1584"/>
            <w:vAlign w:val="center"/>
            <w:tcMar>
              <w:top w:w="90" w:type="dxa"/>
              <w:start w:w="120" w:type="dxa"/>
              <w:bottom w:w="90" w:type="dxa"/>
              <w:end w:w="120" w:type="dxa"/>
            </w:tcMar>
          </w:tcPr>
          <w:p>
            <w:pPr>
              <w:spacing w:after="0" w:line="252" w:lineRule="auto"/>
            </w:pPr>
            <w:r>
              <w:rPr>
                <w:sz w:val="17"/>
              </w:rPr>
              <w:t>Stok kartı</w:t>
            </w:r>
          </w:p>
        </w:tc>
        <w:tc>
          <w:tcPr>
            <w:tcW w:type="dxa" w:w="3960"/>
            <w:vAlign w:val="center"/>
            <w:tcMar>
              <w:top w:w="90" w:type="dxa"/>
              <w:start w:w="120" w:type="dxa"/>
              <w:bottom w:w="90" w:type="dxa"/>
              <w:end w:w="120" w:type="dxa"/>
            </w:tcMar>
          </w:tcPr>
          <w:p>
            <w:pPr>
              <w:spacing w:after="0" w:line="252" w:lineRule="auto"/>
            </w:pPr>
            <w:r>
              <w:rPr>
                <w:sz w:val="17"/>
              </w:rPr>
              <w:t>Products, Categories, TaxRates, Barcodes, Variants, Colors, Images</w:t>
            </w:r>
          </w:p>
        </w:tc>
        <w:tc>
          <w:tcPr>
            <w:tcW w:type="dxa" w:w="4032"/>
            <w:vAlign w:val="center"/>
            <w:tcMar>
              <w:top w:w="90" w:type="dxa"/>
              <w:start w:w="120" w:type="dxa"/>
              <w:bottom w:w="90" w:type="dxa"/>
              <w:end w:w="120" w:type="dxa"/>
            </w:tcMar>
          </w:tcPr>
          <w:p>
            <w:pPr>
              <w:spacing w:after="0" w:line="252" w:lineRule="auto"/>
            </w:pPr>
            <w:r>
              <w:rPr>
                <w:sz w:val="17"/>
              </w:rPr>
              <w:t>Ürün; kategori ve KDV’ye zorunlu, varyant/barkod/görsele çoklu bağlı.</w:t>
            </w:r>
          </w:p>
        </w:tc>
      </w:tr>
      <w:tr>
        <w:tc>
          <w:tcPr>
            <w:tcW w:type="dxa" w:w="1584"/>
            <w:vAlign w:val="center"/>
            <w:tcMar>
              <w:top w:w="90" w:type="dxa"/>
              <w:start w:w="120" w:type="dxa"/>
              <w:bottom w:w="90" w:type="dxa"/>
              <w:end w:w="120" w:type="dxa"/>
            </w:tcMar>
          </w:tcPr>
          <w:p>
            <w:pPr>
              <w:spacing w:after="0" w:line="252" w:lineRule="auto"/>
            </w:pPr>
            <w:r>
              <w:rPr>
                <w:sz w:val="17"/>
              </w:rPr>
              <w:t>Depo</w:t>
            </w:r>
          </w:p>
        </w:tc>
        <w:tc>
          <w:tcPr>
            <w:tcW w:type="dxa" w:w="3960"/>
            <w:vAlign w:val="center"/>
            <w:tcMar>
              <w:top w:w="90" w:type="dxa"/>
              <w:start w:w="120" w:type="dxa"/>
              <w:bottom w:w="90" w:type="dxa"/>
              <w:end w:w="120" w:type="dxa"/>
            </w:tcMar>
          </w:tcPr>
          <w:p>
            <w:pPr>
              <w:spacing w:after="0" w:line="252" w:lineRule="auto"/>
            </w:pPr>
            <w:r>
              <w:rPr>
                <w:sz w:val="17"/>
              </w:rPr>
              <w:t>Branches, Warehouses, StockMovements, Transfers</w:t>
            </w:r>
          </w:p>
        </w:tc>
        <w:tc>
          <w:tcPr>
            <w:tcW w:type="dxa" w:w="4032"/>
            <w:vAlign w:val="center"/>
            <w:tcMar>
              <w:top w:w="90" w:type="dxa"/>
              <w:start w:w="120" w:type="dxa"/>
              <w:bottom w:w="90" w:type="dxa"/>
              <w:end w:w="120" w:type="dxa"/>
            </w:tcMar>
          </w:tcPr>
          <w:p>
            <w:pPr>
              <w:spacing w:after="0" w:line="252" w:lineRule="auto"/>
            </w:pPr>
            <w:r>
              <w:rPr>
                <w:sz w:val="17"/>
              </w:rPr>
              <w:t>Şube → depo; tüm miktar değişimleri depo bazlı hareket üzerinden izlenir.</w:t>
            </w:r>
          </w:p>
        </w:tc>
      </w:tr>
      <w:tr>
        <w:tc>
          <w:tcPr>
            <w:tcW w:type="dxa" w:w="1584"/>
            <w:vAlign w:val="center"/>
            <w:tcMar>
              <w:top w:w="90" w:type="dxa"/>
              <w:start w:w="120" w:type="dxa"/>
              <w:bottom w:w="90" w:type="dxa"/>
              <w:end w:w="120" w:type="dxa"/>
            </w:tcMar>
          </w:tcPr>
          <w:p>
            <w:pPr>
              <w:spacing w:after="0" w:line="252" w:lineRule="auto"/>
            </w:pPr>
            <w:r>
              <w:rPr>
                <w:sz w:val="17"/>
              </w:rPr>
              <w:t>Ticari belge</w:t>
            </w:r>
          </w:p>
        </w:tc>
        <w:tc>
          <w:tcPr>
            <w:tcW w:type="dxa" w:w="3960"/>
            <w:vAlign w:val="center"/>
            <w:tcMar>
              <w:top w:w="90" w:type="dxa"/>
              <w:start w:w="120" w:type="dxa"/>
              <w:bottom w:w="90" w:type="dxa"/>
              <w:end w:w="120" w:type="dxa"/>
            </w:tcMar>
          </w:tcPr>
          <w:p>
            <w:pPr>
              <w:spacing w:after="0" w:line="252" w:lineRule="auto"/>
            </w:pPr>
            <w:r>
              <w:rPr>
                <w:sz w:val="17"/>
              </w:rPr>
              <w:t>Quotes, Orders, DispatchNotes, Invoices</w:t>
            </w:r>
          </w:p>
        </w:tc>
        <w:tc>
          <w:tcPr>
            <w:tcW w:type="dxa" w:w="4032"/>
            <w:vAlign w:val="center"/>
            <w:tcMar>
              <w:top w:w="90" w:type="dxa"/>
              <w:start w:w="120" w:type="dxa"/>
              <w:bottom w:w="90" w:type="dxa"/>
              <w:end w:w="120" w:type="dxa"/>
            </w:tcMar>
          </w:tcPr>
          <w:p>
            <w:pPr>
              <w:spacing w:after="0" w:line="252" w:lineRule="auto"/>
            </w:pPr>
            <w:r>
              <w:rPr>
                <w:sz w:val="17"/>
              </w:rPr>
              <w:t>Tekliften siparişe, irsaliyeye ve faturaya referans taşınabilir.</w:t>
            </w:r>
          </w:p>
        </w:tc>
      </w:tr>
      <w:tr>
        <w:tc>
          <w:tcPr>
            <w:tcW w:type="dxa" w:w="1584"/>
            <w:vAlign w:val="center"/>
            <w:tcMar>
              <w:top w:w="90" w:type="dxa"/>
              <w:start w:w="120" w:type="dxa"/>
              <w:bottom w:w="90" w:type="dxa"/>
              <w:end w:w="120" w:type="dxa"/>
            </w:tcMar>
          </w:tcPr>
          <w:p>
            <w:pPr>
              <w:spacing w:after="0" w:line="252" w:lineRule="auto"/>
            </w:pPr>
            <w:r>
              <w:rPr>
                <w:sz w:val="17"/>
              </w:rPr>
              <w:t>Cari</w:t>
            </w:r>
          </w:p>
        </w:tc>
        <w:tc>
          <w:tcPr>
            <w:tcW w:type="dxa" w:w="3960"/>
            <w:vAlign w:val="center"/>
            <w:tcMar>
              <w:top w:w="90" w:type="dxa"/>
              <w:start w:w="120" w:type="dxa"/>
              <w:bottom w:w="90" w:type="dxa"/>
              <w:end w:w="120" w:type="dxa"/>
            </w:tcMar>
          </w:tcPr>
          <w:p>
            <w:pPr>
              <w:spacing w:after="0" w:line="252" w:lineRule="auto"/>
            </w:pPr>
            <w:r>
              <w:rPr>
                <w:sz w:val="17"/>
              </w:rPr>
              <w:t>Customers, Addresses, Contacts, AccountTransactions</w:t>
            </w:r>
          </w:p>
        </w:tc>
        <w:tc>
          <w:tcPr>
            <w:tcW w:type="dxa" w:w="4032"/>
            <w:vAlign w:val="center"/>
            <w:tcMar>
              <w:top w:w="90" w:type="dxa"/>
              <w:start w:w="120" w:type="dxa"/>
              <w:bottom w:w="90" w:type="dxa"/>
              <w:end w:w="120" w:type="dxa"/>
            </w:tcMar>
          </w:tcPr>
          <w:p>
            <w:pPr>
              <w:spacing w:after="0" w:line="252" w:lineRule="auto"/>
            </w:pPr>
            <w:r>
              <w:rPr>
                <w:sz w:val="17"/>
              </w:rPr>
              <w:t>Belge hareketleri müşteri hesabının borç/alacak föyüne bağlanır.</w:t>
            </w:r>
          </w:p>
        </w:tc>
      </w:tr>
      <w:tr>
        <w:tc>
          <w:tcPr>
            <w:tcW w:type="dxa" w:w="1584"/>
            <w:vAlign w:val="center"/>
            <w:tcMar>
              <w:top w:w="90" w:type="dxa"/>
              <w:start w:w="120" w:type="dxa"/>
              <w:bottom w:w="90" w:type="dxa"/>
              <w:end w:w="120" w:type="dxa"/>
            </w:tcMar>
          </w:tcPr>
          <w:p>
            <w:pPr>
              <w:spacing w:after="0" w:line="252" w:lineRule="auto"/>
            </w:pPr>
            <w:r>
              <w:rPr>
                <w:sz w:val="17"/>
              </w:rPr>
              <w:t>Finans</w:t>
            </w:r>
          </w:p>
        </w:tc>
        <w:tc>
          <w:tcPr>
            <w:tcW w:type="dxa" w:w="3960"/>
            <w:vAlign w:val="center"/>
            <w:tcMar>
              <w:top w:w="90" w:type="dxa"/>
              <w:start w:w="120" w:type="dxa"/>
              <w:bottom w:w="90" w:type="dxa"/>
              <w:end w:w="120" w:type="dxa"/>
            </w:tcMar>
          </w:tcPr>
          <w:p>
            <w:pPr>
              <w:spacing w:after="0" w:line="252" w:lineRule="auto"/>
            </w:pPr>
            <w:r>
              <w:rPr>
                <w:sz w:val="17"/>
              </w:rPr>
              <w:t>FinancialAccounts, Transactions, Receipts, Expenses</w:t>
            </w:r>
          </w:p>
        </w:tc>
        <w:tc>
          <w:tcPr>
            <w:tcW w:type="dxa" w:w="4032"/>
            <w:vAlign w:val="center"/>
            <w:tcMar>
              <w:top w:w="90" w:type="dxa"/>
              <w:start w:w="120" w:type="dxa"/>
              <w:bottom w:w="90" w:type="dxa"/>
              <w:end w:w="120" w:type="dxa"/>
            </w:tcMar>
          </w:tcPr>
          <w:p>
            <w:pPr>
              <w:spacing w:after="0" w:line="252" w:lineRule="auto"/>
            </w:pPr>
            <w:r>
              <w:rPr>
                <w:sz w:val="17"/>
              </w:rPr>
              <w:t>Kasa/banka hareketleri cari ve belge hareketlerine bağlanabilir.</w:t>
            </w:r>
          </w:p>
        </w:tc>
      </w:tr>
      <w:tr>
        <w:tc>
          <w:tcPr>
            <w:tcW w:type="dxa" w:w="1584"/>
            <w:vAlign w:val="center"/>
            <w:tcMar>
              <w:top w:w="90" w:type="dxa"/>
              <w:start w:w="120" w:type="dxa"/>
              <w:bottom w:w="90" w:type="dxa"/>
              <w:end w:w="120" w:type="dxa"/>
            </w:tcMar>
          </w:tcPr>
          <w:p>
            <w:pPr>
              <w:spacing w:after="0" w:line="252" w:lineRule="auto"/>
            </w:pPr>
            <w:r>
              <w:rPr>
                <w:sz w:val="17"/>
              </w:rPr>
              <w:t>Fiyat</w:t>
            </w:r>
          </w:p>
        </w:tc>
        <w:tc>
          <w:tcPr>
            <w:tcW w:type="dxa" w:w="3960"/>
            <w:vAlign w:val="center"/>
            <w:tcMar>
              <w:top w:w="90" w:type="dxa"/>
              <w:start w:w="120" w:type="dxa"/>
              <w:bottom w:w="90" w:type="dxa"/>
              <w:end w:w="120" w:type="dxa"/>
            </w:tcMar>
          </w:tcPr>
          <w:p>
            <w:pPr>
              <w:spacing w:after="0" w:line="252" w:lineRule="auto"/>
            </w:pPr>
            <w:r>
              <w:rPr>
                <w:sz w:val="17"/>
              </w:rPr>
              <w:t>PurchasePriceLists, SalesPriceLists ve satırları</w:t>
            </w:r>
          </w:p>
        </w:tc>
        <w:tc>
          <w:tcPr>
            <w:tcW w:type="dxa" w:w="4032"/>
            <w:vAlign w:val="center"/>
            <w:tcMar>
              <w:top w:w="90" w:type="dxa"/>
              <w:start w:w="120" w:type="dxa"/>
              <w:bottom w:w="90" w:type="dxa"/>
              <w:end w:w="120" w:type="dxa"/>
            </w:tcMar>
          </w:tcPr>
          <w:p>
            <w:pPr>
              <w:spacing w:after="0" w:line="252" w:lineRule="auto"/>
            </w:pPr>
            <w:r>
              <w:rPr>
                <w:sz w:val="17"/>
              </w:rPr>
              <w:t>Cari, ürün, varyant, miktar ve geçerlilik tarihine göre fiyat altyapısı.</w:t>
            </w:r>
          </w:p>
        </w:tc>
      </w:tr>
      <w:tr>
        <w:tc>
          <w:tcPr>
            <w:tcW w:type="dxa" w:w="1584"/>
            <w:vAlign w:val="center"/>
            <w:tcMar>
              <w:top w:w="90" w:type="dxa"/>
              <w:start w:w="120" w:type="dxa"/>
              <w:bottom w:w="90" w:type="dxa"/>
              <w:end w:w="120" w:type="dxa"/>
            </w:tcMar>
          </w:tcPr>
          <w:p>
            <w:pPr>
              <w:spacing w:after="0" w:line="252" w:lineRule="auto"/>
            </w:pPr>
            <w:r>
              <w:rPr>
                <w:sz w:val="17"/>
              </w:rPr>
              <w:t>Kontrol</w:t>
            </w:r>
          </w:p>
        </w:tc>
        <w:tc>
          <w:tcPr>
            <w:tcW w:type="dxa" w:w="3960"/>
            <w:vAlign w:val="center"/>
            <w:tcMar>
              <w:top w:w="90" w:type="dxa"/>
              <w:start w:w="120" w:type="dxa"/>
              <w:bottom w:w="90" w:type="dxa"/>
              <w:end w:w="120" w:type="dxa"/>
            </w:tcMar>
          </w:tcPr>
          <w:p>
            <w:pPr>
              <w:spacing w:after="0" w:line="252" w:lineRule="auto"/>
            </w:pPr>
            <w:r>
              <w:rPr>
                <w:sz w:val="17"/>
              </w:rPr>
              <w:t>AuditLogs, NumberSequences, Settings, Outbox, ExternalMappings</w:t>
            </w:r>
          </w:p>
        </w:tc>
        <w:tc>
          <w:tcPr>
            <w:tcW w:type="dxa" w:w="4032"/>
            <w:vAlign w:val="center"/>
            <w:tcMar>
              <w:top w:w="90" w:type="dxa"/>
              <w:start w:w="120" w:type="dxa"/>
              <w:bottom w:w="90" w:type="dxa"/>
              <w:end w:w="120" w:type="dxa"/>
            </w:tcMar>
          </w:tcPr>
          <w:p>
            <w:pPr>
              <w:spacing w:after="0" w:line="252" w:lineRule="auto"/>
            </w:pPr>
            <w:r>
              <w:rPr>
                <w:sz w:val="17"/>
              </w:rPr>
              <w:t>Parametre, numara, iz ve entegrasyon güvenliği.</w:t>
            </w:r>
          </w:p>
        </w:tc>
      </w:tr>
    </w:tbl>
    <w:p>
      <w:pPr>
        <w:spacing w:after="20"/>
      </w:pPr>
    </w:p>
    <w:p>
      <w:r>
        <w:br w:type="page"/>
      </w:r>
    </w:p>
    <w:p>
      <w:pPr>
        <w:pStyle w:val="Heading1"/>
      </w:pPr>
      <w:r>
        <w:t>5. Stok altyapısının satır satır iş mantığı</w:t>
      </w:r>
    </w:p>
    <w:p>
      <w:pPr>
        <w:pStyle w:val="Heading2"/>
      </w:pPr>
      <w:r>
        <w:t>5.1 Stok kartı</w:t>
      </w:r>
    </w:p>
    <w:p>
      <w:pPr>
        <w:pStyle w:val="ListBullet"/>
      </w:pPr>
      <w:r>
        <w:t>Stok kodu veritabanında zorunlu ve benzersizdir.</w:t>
      </w:r>
    </w:p>
    <w:p>
      <w:pPr>
        <w:pStyle w:val="ListBullet"/>
      </w:pPr>
      <w:r>
        <w:t>Kullanıcı kodu boş bırakırsa NumberSequence üzerinden SHN.001 biçiminde sıra üretilir.</w:t>
      </w:r>
    </w:p>
    <w:p>
      <w:pPr>
        <w:pStyle w:val="ListBullet"/>
      </w:pPr>
      <w:r>
        <w:t>Ana barkod Products tablosunda, sınırsız ek barkod ProductBarcodes tablosunda tutulur.</w:t>
      </w:r>
    </w:p>
    <w:p>
      <w:pPr>
        <w:pStyle w:val="ListBullet"/>
      </w:pPr>
      <w:r>
        <w:t>ProductBarcodes.Barcode benzersiz indekslidir; aynı barkod iki üründe kullanılamaz.</w:t>
      </w:r>
    </w:p>
    <w:p>
      <w:pPr>
        <w:pStyle w:val="ListBullet"/>
      </w:pPr>
      <w:r>
        <w:t>Kategori ve KDV foreign key’leri Restrict davranışındadır; kullanılan tanımlar yanlışlıkla silinemez.</w:t>
      </w:r>
    </w:p>
    <w:p>
      <w:pPr>
        <w:pStyle w:val="ListBullet"/>
      </w:pPr>
      <w:r>
        <w:t>Fiyatlar negatif olamaz; minimum stok negatif olamaz.</w:t>
      </w:r>
    </w:p>
    <w:p>
      <w:pPr>
        <w:pStyle w:val="ListBullet"/>
      </w:pPr>
      <w:r>
        <w:t>Renk ve diğer seçenekler ProductVariant üzerinden ürüne bağlıdır.</w:t>
      </w:r>
    </w:p>
    <w:p>
      <w:pPr>
        <w:pStyle w:val="ListBullet"/>
      </w:pPr>
      <w:r>
        <w:t>Ürün görselleri ürün veya varyanta bağlanabilir; birincil görsel işareti vardır.</w:t>
      </w:r>
    </w:p>
    <w:p>
      <w:pPr>
        <w:pStyle w:val="ListBullet"/>
      </w:pPr>
      <w:r>
        <w:t>Seri ve lot takibi için ürün bayrakları ve ProductSerialNumbers tablosu bulunur.</w:t>
      </w:r>
    </w:p>
    <w:p>
      <w:pPr>
        <w:pStyle w:val="Heading2"/>
      </w:pPr>
      <w:r>
        <w:t>5.2 Barkod</w:t>
      </w:r>
    </w:p>
    <w:p>
      <w:pPr>
        <w:pStyle w:val="ListBullet"/>
      </w:pPr>
      <w:r>
        <w:t>EAN-13 ve EAN-8 için kontrol hanesi hesaplayan servis vardır.</w:t>
      </w:r>
    </w:p>
    <w:p>
      <w:pPr>
        <w:pStyle w:val="ListBullet"/>
      </w:pPr>
      <w:r>
        <w:t>Terazi barkodu 27, 28 veya 29 ön eki + 5 haneli PLU olacak şekilde 7 hanedir.</w:t>
      </w:r>
    </w:p>
    <w:p>
      <w:pPr>
        <w:pStyle w:val="ListBullet"/>
      </w:pPr>
      <w:r>
        <w:t>Terazi ürünü için Kg/Adet ölçüm türü ve fiyat içerme seçeneği saklanır.</w:t>
      </w:r>
    </w:p>
    <w:p>
      <w:pPr>
        <w:pStyle w:val="ListBullet"/>
      </w:pPr>
      <w:r>
        <w:t>Barkod zorunluluğu ve otomatik üretim InventorySettings üzerinden parametriktir.</w:t>
      </w:r>
    </w:p>
    <w:tbl>
      <w:tblPr>
        <w:tblW w:type="auto" w:w="0"/>
        <w:jc w:val="center"/>
        <w:tblLayout w:type="fixed"/>
        <w:tblLook w:firstColumn="1" w:firstRow="1" w:lastColumn="0" w:lastRow="0" w:noHBand="0" w:noVBand="1" w:val="04A0"/>
      </w:tblPr>
      <w:tblGrid>
        <w:gridCol w:w="9792"/>
      </w:tblGrid>
      <w:tr>
        <w:tc>
          <w:tcPr>
            <w:tcW w:type="dxa" w:w="9576"/>
            <w:shd w:fill="E2F0D9"/>
            <w:tcMar>
              <w:top w:w="140" w:type="dxa"/>
              <w:start w:w="180" w:type="dxa"/>
              <w:bottom w:w="140" w:type="dxa"/>
              <w:end w:w="180" w:type="dxa"/>
            </w:tcMar>
          </w:tcPr>
          <w:p>
            <w:pPr>
              <w:spacing w:after="40"/>
            </w:pPr>
            <w:r>
              <w:rPr>
                <w:b/>
                <w:color w:val="0B2545"/>
              </w:rPr>
              <w:t xml:space="preserve">Denetim sırasında düzeltildi  </w:t>
            </w:r>
            <w:r>
              <w:t>Ürün düzenleme POST işleminde mevcut barkod koleksiyonu artık yüklenerek eşitleniyor. Aynı ana barkodun ikinci kez eklenmesine yol açan hata kapatıldı.</w:t>
            </w:r>
          </w:p>
        </w:tc>
      </w:tr>
    </w:tbl>
    <w:p>
      <w:pPr>
        <w:spacing w:after="0"/>
      </w:pPr>
    </w:p>
    <w:p>
      <w:pPr>
        <w:pStyle w:val="Heading2"/>
      </w:pPr>
      <w:r>
        <w:t>5.3 Stok hareket defteri</w:t>
      </w:r>
    </w:p>
    <w:p>
      <w:r>
        <w:t>StockMovements miktarın gerçek muhasebe defteri olacak şekilde tasarlanmıştır. Hareket; ürün, depo, tarih, miktar, maliyet, belge numarası ve kaynak satır kimliğini taşır.</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EEF5"/>
            <w:vAlign w:val="center"/>
            <w:tcMar>
              <w:top w:w="90" w:type="dxa"/>
              <w:start w:w="120" w:type="dxa"/>
              <w:bottom w:w="90" w:type="dxa"/>
              <w:end w:w="120" w:type="dxa"/>
            </w:tcMar>
          </w:tcPr>
          <w:p>
            <w:pPr>
              <w:spacing w:after="0"/>
            </w:pPr>
            <w:r>
              <w:rPr>
                <w:b/>
                <w:color w:val="0B2545"/>
                <w:sz w:val="18"/>
              </w:rPr>
              <w:t>Kaynak</w:t>
            </w:r>
          </w:p>
        </w:tc>
        <w:tc>
          <w:tcPr>
            <w:tcW w:type="dxa" w:w="4536"/>
            <w:shd w:fill="E8EEF5"/>
            <w:vAlign w:val="center"/>
            <w:tcMar>
              <w:top w:w="90" w:type="dxa"/>
              <w:start w:w="120" w:type="dxa"/>
              <w:bottom w:w="90" w:type="dxa"/>
              <w:end w:w="120" w:type="dxa"/>
            </w:tcMar>
          </w:tcPr>
          <w:p>
            <w:pPr>
              <w:spacing w:after="0"/>
            </w:pPr>
            <w:r>
              <w:rPr>
                <w:b/>
                <w:color w:val="0B2545"/>
                <w:sz w:val="18"/>
              </w:rPr>
              <w:t>Hareket</w:t>
            </w:r>
          </w:p>
        </w:tc>
        <w:tc>
          <w:tcPr>
            <w:tcW w:type="dxa" w:w="3096"/>
            <w:shd w:fill="E8EEF5"/>
            <w:vAlign w:val="center"/>
            <w:tcMar>
              <w:top w:w="90" w:type="dxa"/>
              <w:start w:w="120" w:type="dxa"/>
              <w:bottom w:w="90" w:type="dxa"/>
              <w:end w:w="120" w:type="dxa"/>
            </w:tcMar>
          </w:tcPr>
          <w:p>
            <w:pPr>
              <w:spacing w:after="0"/>
            </w:pPr>
            <w:r>
              <w:rPr>
                <w:b/>
                <w:color w:val="0B2545"/>
                <w:sz w:val="18"/>
              </w:rPr>
              <w:t>Bağlantı alanı</w:t>
            </w:r>
          </w:p>
        </w:tc>
      </w:tr>
      <w:tr>
        <w:tc>
          <w:tcPr>
            <w:tcW w:type="dxa" w:w="1944"/>
            <w:vAlign w:val="center"/>
            <w:tcMar>
              <w:top w:w="90" w:type="dxa"/>
              <w:start w:w="120" w:type="dxa"/>
              <w:bottom w:w="90" w:type="dxa"/>
              <w:end w:w="120" w:type="dxa"/>
            </w:tcMar>
          </w:tcPr>
          <w:p>
            <w:pPr>
              <w:spacing w:after="0" w:line="252" w:lineRule="auto"/>
            </w:pPr>
            <w:r>
              <w:rPr>
                <w:sz w:val="17"/>
              </w:rPr>
              <w:t>Alış faturası</w:t>
            </w:r>
          </w:p>
        </w:tc>
        <w:tc>
          <w:tcPr>
            <w:tcW w:type="dxa" w:w="4536"/>
            <w:vAlign w:val="center"/>
            <w:tcMar>
              <w:top w:w="90" w:type="dxa"/>
              <w:start w:w="120" w:type="dxa"/>
              <w:bottom w:w="90" w:type="dxa"/>
              <w:end w:w="120" w:type="dxa"/>
            </w:tcMar>
          </w:tcPr>
          <w:p>
            <w:pPr>
              <w:spacing w:after="0" w:line="252" w:lineRule="auto"/>
            </w:pPr>
            <w:r>
              <w:rPr>
                <w:sz w:val="17"/>
              </w:rPr>
              <w:t>Pozitif Purchase</w:t>
            </w:r>
          </w:p>
        </w:tc>
        <w:tc>
          <w:tcPr>
            <w:tcW w:type="dxa" w:w="3096"/>
            <w:vAlign w:val="center"/>
            <w:tcMar>
              <w:top w:w="90" w:type="dxa"/>
              <w:start w:w="120" w:type="dxa"/>
              <w:bottom w:w="90" w:type="dxa"/>
              <w:end w:w="120" w:type="dxa"/>
            </w:tcMar>
          </w:tcPr>
          <w:p>
            <w:pPr>
              <w:spacing w:after="0" w:line="252" w:lineRule="auto"/>
            </w:pPr>
            <w:r>
              <w:rPr>
                <w:sz w:val="17"/>
              </w:rPr>
              <w:t>InvoiceLineId</w:t>
            </w:r>
          </w:p>
        </w:tc>
      </w:tr>
      <w:tr>
        <w:tc>
          <w:tcPr>
            <w:tcW w:type="dxa" w:w="1944"/>
            <w:vAlign w:val="center"/>
            <w:tcMar>
              <w:top w:w="90" w:type="dxa"/>
              <w:start w:w="120" w:type="dxa"/>
              <w:bottom w:w="90" w:type="dxa"/>
              <w:end w:w="120" w:type="dxa"/>
            </w:tcMar>
          </w:tcPr>
          <w:p>
            <w:pPr>
              <w:spacing w:after="0" w:line="252" w:lineRule="auto"/>
            </w:pPr>
            <w:r>
              <w:rPr>
                <w:sz w:val="17"/>
              </w:rPr>
              <w:t>Satış faturası</w:t>
            </w:r>
          </w:p>
        </w:tc>
        <w:tc>
          <w:tcPr>
            <w:tcW w:type="dxa" w:w="4536"/>
            <w:vAlign w:val="center"/>
            <w:tcMar>
              <w:top w:w="90" w:type="dxa"/>
              <w:start w:w="120" w:type="dxa"/>
              <w:bottom w:w="90" w:type="dxa"/>
              <w:end w:w="120" w:type="dxa"/>
            </w:tcMar>
          </w:tcPr>
          <w:p>
            <w:pPr>
              <w:spacing w:after="0" w:line="252" w:lineRule="auto"/>
            </w:pPr>
            <w:r>
              <w:rPr>
                <w:sz w:val="17"/>
              </w:rPr>
              <w:t>Negatif Sale</w:t>
            </w:r>
          </w:p>
        </w:tc>
        <w:tc>
          <w:tcPr>
            <w:tcW w:type="dxa" w:w="3096"/>
            <w:vAlign w:val="center"/>
            <w:tcMar>
              <w:top w:w="90" w:type="dxa"/>
              <w:start w:w="120" w:type="dxa"/>
              <w:bottom w:w="90" w:type="dxa"/>
              <w:end w:w="120" w:type="dxa"/>
            </w:tcMar>
          </w:tcPr>
          <w:p>
            <w:pPr>
              <w:spacing w:after="0" w:line="252" w:lineRule="auto"/>
            </w:pPr>
            <w:r>
              <w:rPr>
                <w:sz w:val="17"/>
              </w:rPr>
              <w:t>InvoiceLineId</w:t>
            </w:r>
          </w:p>
        </w:tc>
      </w:tr>
      <w:tr>
        <w:tc>
          <w:tcPr>
            <w:tcW w:type="dxa" w:w="1944"/>
            <w:vAlign w:val="center"/>
            <w:tcMar>
              <w:top w:w="90" w:type="dxa"/>
              <w:start w:w="120" w:type="dxa"/>
              <w:bottom w:w="90" w:type="dxa"/>
              <w:end w:w="120" w:type="dxa"/>
            </w:tcMar>
          </w:tcPr>
          <w:p>
            <w:pPr>
              <w:spacing w:after="0" w:line="252" w:lineRule="auto"/>
            </w:pPr>
            <w:r>
              <w:rPr>
                <w:sz w:val="17"/>
              </w:rPr>
              <w:t>Depolar arası sevk</w:t>
            </w:r>
          </w:p>
        </w:tc>
        <w:tc>
          <w:tcPr>
            <w:tcW w:type="dxa" w:w="4536"/>
            <w:vAlign w:val="center"/>
            <w:tcMar>
              <w:top w:w="90" w:type="dxa"/>
              <w:start w:w="120" w:type="dxa"/>
              <w:bottom w:w="90" w:type="dxa"/>
              <w:end w:w="120" w:type="dxa"/>
            </w:tcMar>
          </w:tcPr>
          <w:p>
            <w:pPr>
              <w:spacing w:after="0" w:line="252" w:lineRule="auto"/>
            </w:pPr>
            <w:r>
              <w:rPr>
                <w:sz w:val="17"/>
              </w:rPr>
              <w:t>Kaynakta TransferOut, hedefte TransferIn</w:t>
            </w:r>
          </w:p>
        </w:tc>
        <w:tc>
          <w:tcPr>
            <w:tcW w:type="dxa" w:w="3096"/>
            <w:vAlign w:val="center"/>
            <w:tcMar>
              <w:top w:w="90" w:type="dxa"/>
              <w:start w:w="120" w:type="dxa"/>
              <w:bottom w:w="90" w:type="dxa"/>
              <w:end w:w="120" w:type="dxa"/>
            </w:tcMar>
          </w:tcPr>
          <w:p>
            <w:pPr>
              <w:spacing w:after="0" w:line="252" w:lineRule="auto"/>
            </w:pPr>
            <w:r>
              <w:rPr>
                <w:sz w:val="17"/>
              </w:rPr>
              <w:t>StockTransferLineId</w:t>
            </w:r>
          </w:p>
        </w:tc>
      </w:tr>
      <w:tr>
        <w:tc>
          <w:tcPr>
            <w:tcW w:type="dxa" w:w="1944"/>
            <w:vAlign w:val="center"/>
            <w:tcMar>
              <w:top w:w="90" w:type="dxa"/>
              <w:start w:w="120" w:type="dxa"/>
              <w:bottom w:w="90" w:type="dxa"/>
              <w:end w:w="120" w:type="dxa"/>
            </w:tcMar>
          </w:tcPr>
          <w:p>
            <w:pPr>
              <w:spacing w:after="0" w:line="252" w:lineRule="auto"/>
            </w:pPr>
            <w:r>
              <w:rPr>
                <w:sz w:val="17"/>
              </w:rPr>
              <w:t>Stok giriş fişi</w:t>
            </w:r>
          </w:p>
        </w:tc>
        <w:tc>
          <w:tcPr>
            <w:tcW w:type="dxa" w:w="4536"/>
            <w:vAlign w:val="center"/>
            <w:tcMar>
              <w:top w:w="90" w:type="dxa"/>
              <w:start w:w="120" w:type="dxa"/>
              <w:bottom w:w="90" w:type="dxa"/>
              <w:end w:w="120" w:type="dxa"/>
            </w:tcMar>
          </w:tcPr>
          <w:p>
            <w:pPr>
              <w:spacing w:after="0" w:line="252" w:lineRule="auto"/>
            </w:pPr>
            <w:r>
              <w:rPr>
                <w:sz w:val="17"/>
              </w:rPr>
              <w:t>Pozitif AdjustmentIn</w:t>
            </w:r>
          </w:p>
        </w:tc>
        <w:tc>
          <w:tcPr>
            <w:tcW w:type="dxa" w:w="3096"/>
            <w:vAlign w:val="center"/>
            <w:tcMar>
              <w:top w:w="90" w:type="dxa"/>
              <w:start w:w="120" w:type="dxa"/>
              <w:bottom w:w="90" w:type="dxa"/>
              <w:end w:w="120" w:type="dxa"/>
            </w:tcMar>
          </w:tcPr>
          <w:p>
            <w:pPr>
              <w:spacing w:after="0" w:line="252" w:lineRule="auto"/>
            </w:pPr>
            <w:r>
              <w:rPr>
                <w:sz w:val="17"/>
              </w:rPr>
              <w:t>StockSlipLineId</w:t>
            </w:r>
          </w:p>
        </w:tc>
      </w:tr>
      <w:tr>
        <w:tc>
          <w:tcPr>
            <w:tcW w:type="dxa" w:w="1944"/>
            <w:vAlign w:val="center"/>
            <w:tcMar>
              <w:top w:w="90" w:type="dxa"/>
              <w:start w:w="120" w:type="dxa"/>
              <w:bottom w:w="90" w:type="dxa"/>
              <w:end w:w="120" w:type="dxa"/>
            </w:tcMar>
          </w:tcPr>
          <w:p>
            <w:pPr>
              <w:spacing w:after="0" w:line="252" w:lineRule="auto"/>
            </w:pPr>
            <w:r>
              <w:rPr>
                <w:sz w:val="17"/>
              </w:rPr>
              <w:t>Stok çıkış fişi</w:t>
            </w:r>
          </w:p>
        </w:tc>
        <w:tc>
          <w:tcPr>
            <w:tcW w:type="dxa" w:w="4536"/>
            <w:vAlign w:val="center"/>
            <w:tcMar>
              <w:top w:w="90" w:type="dxa"/>
              <w:start w:w="120" w:type="dxa"/>
              <w:bottom w:w="90" w:type="dxa"/>
              <w:end w:w="120" w:type="dxa"/>
            </w:tcMar>
          </w:tcPr>
          <w:p>
            <w:pPr>
              <w:spacing w:after="0" w:line="252" w:lineRule="auto"/>
            </w:pPr>
            <w:r>
              <w:rPr>
                <w:sz w:val="17"/>
              </w:rPr>
              <w:t>Negatif AdjustmentOut</w:t>
            </w:r>
          </w:p>
        </w:tc>
        <w:tc>
          <w:tcPr>
            <w:tcW w:type="dxa" w:w="3096"/>
            <w:vAlign w:val="center"/>
            <w:tcMar>
              <w:top w:w="90" w:type="dxa"/>
              <w:start w:w="120" w:type="dxa"/>
              <w:bottom w:w="90" w:type="dxa"/>
              <w:end w:w="120" w:type="dxa"/>
            </w:tcMar>
          </w:tcPr>
          <w:p>
            <w:pPr>
              <w:spacing w:after="0" w:line="252" w:lineRule="auto"/>
            </w:pPr>
            <w:r>
              <w:rPr>
                <w:sz w:val="17"/>
              </w:rPr>
              <w:t>StockSlipLineId</w:t>
            </w:r>
          </w:p>
        </w:tc>
      </w:tr>
      <w:tr>
        <w:tc>
          <w:tcPr>
            <w:tcW w:type="dxa" w:w="1944"/>
            <w:vAlign w:val="center"/>
            <w:tcMar>
              <w:top w:w="90" w:type="dxa"/>
              <w:start w:w="120" w:type="dxa"/>
              <w:bottom w:w="90" w:type="dxa"/>
              <w:end w:w="120" w:type="dxa"/>
            </w:tcMar>
          </w:tcPr>
          <w:p>
            <w:pPr>
              <w:spacing w:after="0" w:line="252" w:lineRule="auto"/>
            </w:pPr>
            <w:r>
              <w:rPr>
                <w:sz w:val="17"/>
              </w:rPr>
              <w:t>Sayım fazlası</w:t>
            </w:r>
          </w:p>
        </w:tc>
        <w:tc>
          <w:tcPr>
            <w:tcW w:type="dxa" w:w="4536"/>
            <w:vAlign w:val="center"/>
            <w:tcMar>
              <w:top w:w="90" w:type="dxa"/>
              <w:start w:w="120" w:type="dxa"/>
              <w:bottom w:w="90" w:type="dxa"/>
              <w:end w:w="120" w:type="dxa"/>
            </w:tcMar>
          </w:tcPr>
          <w:p>
            <w:pPr>
              <w:spacing w:after="0" w:line="252" w:lineRule="auto"/>
            </w:pPr>
            <w:r>
              <w:rPr>
                <w:sz w:val="17"/>
              </w:rPr>
              <w:t>Pozitif InventoryCountSurplus</w:t>
            </w:r>
          </w:p>
        </w:tc>
        <w:tc>
          <w:tcPr>
            <w:tcW w:type="dxa" w:w="3096"/>
            <w:vAlign w:val="center"/>
            <w:tcMar>
              <w:top w:w="90" w:type="dxa"/>
              <w:start w:w="120" w:type="dxa"/>
              <w:bottom w:w="90" w:type="dxa"/>
              <w:end w:w="120" w:type="dxa"/>
            </w:tcMar>
          </w:tcPr>
          <w:p>
            <w:pPr>
              <w:spacing w:after="0" w:line="252" w:lineRule="auto"/>
            </w:pPr>
            <w:r>
              <w:rPr>
                <w:sz w:val="17"/>
              </w:rPr>
              <w:t>InventoryCountLineId</w:t>
            </w:r>
          </w:p>
        </w:tc>
      </w:tr>
      <w:tr>
        <w:tc>
          <w:tcPr>
            <w:tcW w:type="dxa" w:w="1944"/>
            <w:vAlign w:val="center"/>
            <w:tcMar>
              <w:top w:w="90" w:type="dxa"/>
              <w:start w:w="120" w:type="dxa"/>
              <w:bottom w:w="90" w:type="dxa"/>
              <w:end w:w="120" w:type="dxa"/>
            </w:tcMar>
          </w:tcPr>
          <w:p>
            <w:pPr>
              <w:spacing w:after="0" w:line="252" w:lineRule="auto"/>
            </w:pPr>
            <w:r>
              <w:rPr>
                <w:sz w:val="17"/>
              </w:rPr>
              <w:t>Sayım noksanı</w:t>
            </w:r>
          </w:p>
        </w:tc>
        <w:tc>
          <w:tcPr>
            <w:tcW w:type="dxa" w:w="4536"/>
            <w:vAlign w:val="center"/>
            <w:tcMar>
              <w:top w:w="90" w:type="dxa"/>
              <w:start w:w="120" w:type="dxa"/>
              <w:bottom w:w="90" w:type="dxa"/>
              <w:end w:w="120" w:type="dxa"/>
            </w:tcMar>
          </w:tcPr>
          <w:p>
            <w:pPr>
              <w:spacing w:after="0" w:line="252" w:lineRule="auto"/>
            </w:pPr>
            <w:r>
              <w:rPr>
                <w:sz w:val="17"/>
              </w:rPr>
              <w:t>Negatif InventoryCountShortage</w:t>
            </w:r>
          </w:p>
        </w:tc>
        <w:tc>
          <w:tcPr>
            <w:tcW w:type="dxa" w:w="3096"/>
            <w:vAlign w:val="center"/>
            <w:tcMar>
              <w:top w:w="90" w:type="dxa"/>
              <w:start w:w="120" w:type="dxa"/>
              <w:bottom w:w="90" w:type="dxa"/>
              <w:end w:w="120" w:type="dxa"/>
            </w:tcMar>
          </w:tcPr>
          <w:p>
            <w:pPr>
              <w:spacing w:after="0" w:line="252" w:lineRule="auto"/>
            </w:pPr>
            <w:r>
              <w:rPr>
                <w:sz w:val="17"/>
              </w:rPr>
              <w:t>InventoryCountLineId</w:t>
            </w:r>
          </w:p>
        </w:tc>
      </w:tr>
    </w:tbl>
    <w:p>
      <w:pPr>
        <w:spacing w:after="20"/>
      </w:pPr>
    </w:p>
    <w:p>
      <w:pPr>
        <w:pStyle w:val="Heading2"/>
      </w:pPr>
      <w:r>
        <w:t>5.4 Sayım örneği</w:t>
      </w:r>
    </w:p>
    <w:p>
      <w:pPr>
        <w:pStyle w:val="ListNumber"/>
        <w:numPr>
          <w:ilvl w:val="0"/>
          <w:numId w:val="10"/>
        </w:numPr>
      </w:pPr>
      <w:r>
        <w:t>Sayım onay anında ilgili ürün ve depo için stok hareketleri toplanır.</w:t>
      </w:r>
    </w:p>
    <w:p>
      <w:pPr>
        <w:pStyle w:val="ListNumber"/>
        <w:numPr>
          <w:ilvl w:val="0"/>
          <w:numId w:val="10"/>
        </w:numPr>
      </w:pPr>
      <w:r>
        <w:t>Sistem miktarı 5, sayılan miktar 4 ise fark 4 − 5 = −1 hesaplanır.</w:t>
      </w:r>
    </w:p>
    <w:p>
      <w:pPr>
        <w:pStyle w:val="ListNumber"/>
        <w:numPr>
          <w:ilvl w:val="0"/>
          <w:numId w:val="10"/>
        </w:numPr>
      </w:pPr>
      <w:r>
        <w:t>Sayım satırına Sistem: 5, Sayılan: 4 bilgileri yazılır.</w:t>
      </w:r>
    </w:p>
    <w:p>
      <w:pPr>
        <w:pStyle w:val="ListNumber"/>
        <w:numPr>
          <w:ilvl w:val="0"/>
          <w:numId w:val="10"/>
        </w:numPr>
      </w:pPr>
      <w:r>
        <w:t>Stok hareketine −1 miktarlı Sayım Noksanı kaydı atılır.</w:t>
      </w:r>
    </w:p>
    <w:p>
      <w:pPr>
        <w:pStyle w:val="ListNumber"/>
        <w:numPr>
          <w:ilvl w:val="0"/>
          <w:numId w:val="10"/>
        </w:numPr>
      </w:pPr>
      <w:r>
        <w:t>Açıklama sistem, sayılan ve fark değerlerini içerir.</w:t>
      </w:r>
    </w:p>
    <w:p>
      <w:pPr>
        <w:pStyle w:val="ListNumber"/>
        <w:numPr>
          <w:ilvl w:val="0"/>
          <w:numId w:val="10"/>
        </w:numPr>
      </w:pPr>
      <w:r>
        <w:t>Ürün toplam stoğu 4 olarak güncellenir.</w:t>
      </w:r>
    </w:p>
    <w:p>
      <w:pPr>
        <w:pStyle w:val="ListNumber"/>
        <w:numPr>
          <w:ilvl w:val="0"/>
          <w:numId w:val="10"/>
        </w:numPr>
      </w:pPr>
      <w:r>
        <w:t>Tüm işlem tek transaction içinde kaydedilir; hata olursa hiçbir parça kalıcı olmaz.</w:t>
      </w:r>
    </w:p>
    <w:tbl>
      <w:tblPr>
        <w:tblW w:type="auto" w:w="0"/>
        <w:jc w:val="center"/>
        <w:tblLayout w:type="fixed"/>
        <w:tblLook w:firstColumn="1" w:firstRow="1" w:lastColumn="0" w:lastRow="0" w:noHBand="0" w:noVBand="1" w:val="04A0"/>
      </w:tblPr>
      <w:tblGrid>
        <w:gridCol w:w="9792"/>
      </w:tblGrid>
      <w:tr>
        <w:tc>
          <w:tcPr>
            <w:tcW w:type="dxa" w:w="9576"/>
            <w:shd w:fill="E2F0D9"/>
            <w:tcMar>
              <w:top w:w="140" w:type="dxa"/>
              <w:start w:w="180" w:type="dxa"/>
              <w:bottom w:w="140" w:type="dxa"/>
              <w:end w:w="180" w:type="dxa"/>
            </w:tcMar>
          </w:tcPr>
          <w:p>
            <w:pPr>
              <w:spacing w:after="40"/>
            </w:pPr>
            <w:r>
              <w:rPr>
                <w:b/>
                <w:color w:val="0B2545"/>
              </w:rPr>
              <w:t xml:space="preserve">Denetim sırasında düzeltildi  </w:t>
            </w:r>
            <w:r>
              <w:t>Yeni stok kartındaki başlangıç miktarı varsayılan depoya Açılış hareketi üretiyor. Düzenleme ekranında mevcut miktar salt okunur; sonraki değişimler fatura, fiş, sevk veya sayım üzerinden yapılmak zorunda.</w:t>
            </w:r>
          </w:p>
        </w:tc>
      </w:tr>
    </w:tbl>
    <w:p>
      <w:pPr>
        <w:spacing w:after="0"/>
      </w:pPr>
    </w:p>
    <w:p>
      <w:r>
        <w:br w:type="page"/>
      </w:r>
    </w:p>
    <w:p>
      <w:pPr>
        <w:pStyle w:val="Heading1"/>
      </w:pPr>
      <w:r>
        <w:t>6. Fatura, cari ve finans bağlantısı</w:t>
      </w:r>
    </w:p>
    <w:p>
      <w:pPr>
        <w:pStyle w:val="Heading2"/>
      </w:pPr>
      <w:r>
        <w:t>6.1 Alış faturası</w:t>
      </w:r>
    </w:p>
    <w:p>
      <w:pPr>
        <w:pStyle w:val="ListNumber"/>
        <w:numPr>
          <w:ilvl w:val="0"/>
          <w:numId w:val="11"/>
        </w:numPr>
      </w:pPr>
      <w:r>
        <w:t>Taslak fatura ve satırları yüklenir.</w:t>
      </w:r>
    </w:p>
    <w:p>
      <w:pPr>
        <w:pStyle w:val="ListNumber"/>
        <w:numPr>
          <w:ilvl w:val="0"/>
          <w:numId w:val="11"/>
        </w:numPr>
      </w:pPr>
      <w:r>
        <w:t>Miktar, fiyat, iskonto ve KDV tekrar hesaplanır.</w:t>
      </w:r>
    </w:p>
    <w:p>
      <w:pPr>
        <w:pStyle w:val="ListNumber"/>
        <w:numPr>
          <w:ilvl w:val="0"/>
          <w:numId w:val="11"/>
        </w:numPr>
      </w:pPr>
      <w:r>
        <w:t>Stok takipli her ürün için depo stok hareketi pozitif yazılır.</w:t>
      </w:r>
    </w:p>
    <w:p>
      <w:pPr>
        <w:pStyle w:val="ListNumber"/>
        <w:numPr>
          <w:ilvl w:val="0"/>
          <w:numId w:val="11"/>
        </w:numPr>
      </w:pPr>
      <w:r>
        <w:t>Ürünün toplam stok önbelleği artırılır.</w:t>
      </w:r>
    </w:p>
    <w:p>
      <w:pPr>
        <w:pStyle w:val="ListNumber"/>
        <w:numPr>
          <w:ilvl w:val="0"/>
          <w:numId w:val="11"/>
        </w:numPr>
      </w:pPr>
      <w:r>
        <w:t>Cari hesaba alış kaynaklı alacak hareketi yazılır.</w:t>
      </w:r>
    </w:p>
    <w:p>
      <w:pPr>
        <w:pStyle w:val="ListNumber"/>
        <w:numPr>
          <w:ilvl w:val="0"/>
          <w:numId w:val="11"/>
        </w:numPr>
      </w:pPr>
      <w:r>
        <w:t>Vade satırı yoksa tek vade otomatik oluşturulur.</w:t>
      </w:r>
    </w:p>
    <w:p>
      <w:pPr>
        <w:pStyle w:val="ListNumber"/>
        <w:numPr>
          <w:ilvl w:val="0"/>
          <w:numId w:val="11"/>
        </w:numPr>
      </w:pPr>
      <w:r>
        <w:t>PurchaseInvoiceApproved olayı outbox’a yazılır.</w:t>
      </w:r>
    </w:p>
    <w:p>
      <w:pPr>
        <w:pStyle w:val="ListNumber"/>
        <w:numPr>
          <w:ilvl w:val="0"/>
          <w:numId w:val="11"/>
        </w:numPr>
      </w:pPr>
      <w:r>
        <w:t>Fatura Approved olur ve tamamı tek Serializable transaction’da kaydedilir.</w:t>
      </w:r>
    </w:p>
    <w:p>
      <w:pPr>
        <w:pStyle w:val="Heading2"/>
      </w:pPr>
      <w:r>
        <w:t>6.2 Satış faturası</w:t>
      </w:r>
    </w:p>
    <w:p>
      <w:pPr>
        <w:pStyle w:val="ListNumber"/>
        <w:numPr>
          <w:ilvl w:val="0"/>
          <w:numId w:val="12"/>
        </w:numPr>
      </w:pPr>
      <w:r>
        <w:t>Taslak ve satırlar doğrulanır; toplamlar sunucuda yeniden hesaplanır.</w:t>
      </w:r>
    </w:p>
    <w:p>
      <w:pPr>
        <w:pStyle w:val="ListNumber"/>
        <w:numPr>
          <w:ilvl w:val="0"/>
          <w:numId w:val="12"/>
        </w:numPr>
      </w:pPr>
      <w:r>
        <w:t>Stok parametreleri açıksa kullanılabilir stok ve rezervasyon kontrol edilir.</w:t>
      </w:r>
    </w:p>
    <w:p>
      <w:pPr>
        <w:pStyle w:val="ListNumber"/>
        <w:numPr>
          <w:ilvl w:val="0"/>
          <w:numId w:val="12"/>
        </w:numPr>
      </w:pPr>
      <w:r>
        <w:t>Stok takipli ürün için negatif Sale hareketi oluşturulur.</w:t>
      </w:r>
    </w:p>
    <w:p>
      <w:pPr>
        <w:pStyle w:val="ListNumber"/>
        <w:numPr>
          <w:ilvl w:val="0"/>
          <w:numId w:val="12"/>
        </w:numPr>
      </w:pPr>
      <w:r>
        <w:t>Cari hesaba satış kaynaklı borç hareketi yazılır.</w:t>
      </w:r>
    </w:p>
    <w:p>
      <w:pPr>
        <w:pStyle w:val="ListNumber"/>
        <w:numPr>
          <w:ilvl w:val="0"/>
          <w:numId w:val="12"/>
        </w:numPr>
      </w:pPr>
      <w:r>
        <w:t>Vade ve entegrasyon olayı oluşturulur; fatura Approved olur.</w:t>
      </w:r>
    </w:p>
    <w:p>
      <w:pPr>
        <w:pStyle w:val="Heading2"/>
      </w:pPr>
      <w:r>
        <w:t>6.3 Borç–alacak yönü</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448"/>
            <w:shd w:fill="E8EEF5"/>
            <w:vAlign w:val="center"/>
            <w:tcMar>
              <w:top w:w="90" w:type="dxa"/>
              <w:start w:w="120" w:type="dxa"/>
              <w:bottom w:w="90" w:type="dxa"/>
              <w:end w:w="120" w:type="dxa"/>
            </w:tcMar>
          </w:tcPr>
          <w:p>
            <w:pPr>
              <w:spacing w:after="0"/>
            </w:pPr>
            <w:r>
              <w:rPr>
                <w:b/>
                <w:color w:val="0B2545"/>
                <w:sz w:val="18"/>
              </w:rPr>
              <w:t>İşlem</w:t>
            </w:r>
          </w:p>
        </w:tc>
        <w:tc>
          <w:tcPr>
            <w:tcW w:type="dxa" w:w="2232"/>
            <w:shd w:fill="E8EEF5"/>
            <w:vAlign w:val="center"/>
            <w:tcMar>
              <w:top w:w="90" w:type="dxa"/>
              <w:start w:w="120" w:type="dxa"/>
              <w:bottom w:w="90" w:type="dxa"/>
              <w:end w:w="120" w:type="dxa"/>
            </w:tcMar>
          </w:tcPr>
          <w:p>
            <w:pPr>
              <w:spacing w:after="0"/>
            </w:pPr>
            <w:r>
              <w:rPr>
                <w:b/>
                <w:color w:val="0B2545"/>
                <w:sz w:val="18"/>
              </w:rPr>
              <w:t>Cari borç</w:t>
            </w:r>
          </w:p>
        </w:tc>
        <w:tc>
          <w:tcPr>
            <w:tcW w:type="dxa" w:w="2232"/>
            <w:shd w:fill="E8EEF5"/>
            <w:vAlign w:val="center"/>
            <w:tcMar>
              <w:top w:w="90" w:type="dxa"/>
              <w:start w:w="120" w:type="dxa"/>
              <w:bottom w:w="90" w:type="dxa"/>
              <w:end w:w="120" w:type="dxa"/>
            </w:tcMar>
          </w:tcPr>
          <w:p>
            <w:pPr>
              <w:spacing w:after="0"/>
            </w:pPr>
            <w:r>
              <w:rPr>
                <w:b/>
                <w:color w:val="0B2545"/>
                <w:sz w:val="18"/>
              </w:rPr>
              <w:t>Cari alacak</w:t>
            </w:r>
          </w:p>
        </w:tc>
        <w:tc>
          <w:tcPr>
            <w:tcW w:type="dxa" w:w="2664"/>
            <w:shd w:fill="E8EEF5"/>
            <w:vAlign w:val="center"/>
            <w:tcMar>
              <w:top w:w="90" w:type="dxa"/>
              <w:start w:w="120" w:type="dxa"/>
              <w:bottom w:w="90" w:type="dxa"/>
              <w:end w:w="120" w:type="dxa"/>
            </w:tcMar>
          </w:tcPr>
          <w:p>
            <w:pPr>
              <w:spacing w:after="0"/>
            </w:pPr>
            <w:r>
              <w:rPr>
                <w:b/>
                <w:color w:val="0B2545"/>
                <w:sz w:val="18"/>
              </w:rPr>
              <w:t>Stok</w:t>
            </w:r>
          </w:p>
        </w:tc>
      </w:tr>
      <w:tr>
        <w:tc>
          <w:tcPr>
            <w:tcW w:type="dxa" w:w="2448"/>
            <w:vAlign w:val="center"/>
            <w:tcMar>
              <w:top w:w="90" w:type="dxa"/>
              <w:start w:w="120" w:type="dxa"/>
              <w:bottom w:w="90" w:type="dxa"/>
              <w:end w:w="120" w:type="dxa"/>
            </w:tcMar>
          </w:tcPr>
          <w:p>
            <w:pPr>
              <w:spacing w:after="0" w:line="252" w:lineRule="auto"/>
            </w:pPr>
            <w:r>
              <w:rPr>
                <w:sz w:val="17"/>
              </w:rPr>
              <w:t>Satış faturası</w:t>
            </w:r>
          </w:p>
        </w:tc>
        <w:tc>
          <w:tcPr>
            <w:tcW w:type="dxa" w:w="2232"/>
            <w:vAlign w:val="center"/>
            <w:tcMar>
              <w:top w:w="90" w:type="dxa"/>
              <w:start w:w="120" w:type="dxa"/>
              <w:bottom w:w="90" w:type="dxa"/>
              <w:end w:w="120" w:type="dxa"/>
            </w:tcMar>
          </w:tcPr>
          <w:p>
            <w:pPr>
              <w:spacing w:after="0" w:line="252" w:lineRule="auto"/>
            </w:pPr>
            <w:r>
              <w:rPr>
                <w:sz w:val="17"/>
              </w:rPr>
              <w:t>Fatura toplamı</w:t>
            </w:r>
          </w:p>
        </w:tc>
        <w:tc>
          <w:tcPr>
            <w:tcW w:type="dxa" w:w="2232"/>
            <w:vAlign w:val="center"/>
            <w:tcMar>
              <w:top w:w="90" w:type="dxa"/>
              <w:start w:w="120" w:type="dxa"/>
              <w:bottom w:w="90" w:type="dxa"/>
              <w:end w:w="120" w:type="dxa"/>
            </w:tcMar>
          </w:tcPr>
          <w:p>
            <w:pPr>
              <w:spacing w:after="0" w:line="252" w:lineRule="auto"/>
            </w:pPr>
            <w:r>
              <w:rPr>
                <w:sz w:val="17"/>
              </w:rPr>
              <w:t>0</w:t>
            </w:r>
          </w:p>
        </w:tc>
        <w:tc>
          <w:tcPr>
            <w:tcW w:type="dxa" w:w="2664"/>
            <w:vAlign w:val="center"/>
            <w:tcMar>
              <w:top w:w="90" w:type="dxa"/>
              <w:start w:w="120" w:type="dxa"/>
              <w:bottom w:w="90" w:type="dxa"/>
              <w:end w:w="120" w:type="dxa"/>
            </w:tcMar>
          </w:tcPr>
          <w:p>
            <w:pPr>
              <w:spacing w:after="0" w:line="252" w:lineRule="auto"/>
            </w:pPr>
            <w:r>
              <w:rPr>
                <w:sz w:val="17"/>
              </w:rPr>
              <w:t>Azalır</w:t>
            </w:r>
          </w:p>
        </w:tc>
      </w:tr>
      <w:tr>
        <w:tc>
          <w:tcPr>
            <w:tcW w:type="dxa" w:w="2448"/>
            <w:vAlign w:val="center"/>
            <w:tcMar>
              <w:top w:w="90" w:type="dxa"/>
              <w:start w:w="120" w:type="dxa"/>
              <w:bottom w:w="90" w:type="dxa"/>
              <w:end w:w="120" w:type="dxa"/>
            </w:tcMar>
          </w:tcPr>
          <w:p>
            <w:pPr>
              <w:spacing w:after="0" w:line="252" w:lineRule="auto"/>
            </w:pPr>
            <w:r>
              <w:rPr>
                <w:sz w:val="17"/>
              </w:rPr>
              <w:t>Alış faturası</w:t>
            </w:r>
          </w:p>
        </w:tc>
        <w:tc>
          <w:tcPr>
            <w:tcW w:type="dxa" w:w="2232"/>
            <w:vAlign w:val="center"/>
            <w:tcMar>
              <w:top w:w="90" w:type="dxa"/>
              <w:start w:w="120" w:type="dxa"/>
              <w:bottom w:w="90" w:type="dxa"/>
              <w:end w:w="120" w:type="dxa"/>
            </w:tcMar>
          </w:tcPr>
          <w:p>
            <w:pPr>
              <w:spacing w:after="0" w:line="252" w:lineRule="auto"/>
            </w:pPr>
            <w:r>
              <w:rPr>
                <w:sz w:val="17"/>
              </w:rPr>
              <w:t>0</w:t>
            </w:r>
          </w:p>
        </w:tc>
        <w:tc>
          <w:tcPr>
            <w:tcW w:type="dxa" w:w="2232"/>
            <w:vAlign w:val="center"/>
            <w:tcMar>
              <w:top w:w="90" w:type="dxa"/>
              <w:start w:w="120" w:type="dxa"/>
              <w:bottom w:w="90" w:type="dxa"/>
              <w:end w:w="120" w:type="dxa"/>
            </w:tcMar>
          </w:tcPr>
          <w:p>
            <w:pPr>
              <w:spacing w:after="0" w:line="252" w:lineRule="auto"/>
            </w:pPr>
            <w:r>
              <w:rPr>
                <w:sz w:val="17"/>
              </w:rPr>
              <w:t>Fatura toplamı</w:t>
            </w:r>
          </w:p>
        </w:tc>
        <w:tc>
          <w:tcPr>
            <w:tcW w:type="dxa" w:w="2664"/>
            <w:vAlign w:val="center"/>
            <w:tcMar>
              <w:top w:w="90" w:type="dxa"/>
              <w:start w:w="120" w:type="dxa"/>
              <w:bottom w:w="90" w:type="dxa"/>
              <w:end w:w="120" w:type="dxa"/>
            </w:tcMar>
          </w:tcPr>
          <w:p>
            <w:pPr>
              <w:spacing w:after="0" w:line="252" w:lineRule="auto"/>
            </w:pPr>
            <w:r>
              <w:rPr>
                <w:sz w:val="17"/>
              </w:rPr>
              <w:t>Artar</w:t>
            </w:r>
          </w:p>
        </w:tc>
      </w:tr>
      <w:tr>
        <w:tc>
          <w:tcPr>
            <w:tcW w:type="dxa" w:w="2448"/>
            <w:vAlign w:val="center"/>
            <w:tcMar>
              <w:top w:w="90" w:type="dxa"/>
              <w:start w:w="120" w:type="dxa"/>
              <w:bottom w:w="90" w:type="dxa"/>
              <w:end w:w="120" w:type="dxa"/>
            </w:tcMar>
          </w:tcPr>
          <w:p>
            <w:pPr>
              <w:spacing w:after="0" w:line="252" w:lineRule="auto"/>
            </w:pPr>
            <w:r>
              <w:rPr>
                <w:sz w:val="17"/>
              </w:rPr>
              <w:t>Tahsilat</w:t>
            </w:r>
          </w:p>
        </w:tc>
        <w:tc>
          <w:tcPr>
            <w:tcW w:type="dxa" w:w="2232"/>
            <w:vAlign w:val="center"/>
            <w:tcMar>
              <w:top w:w="90" w:type="dxa"/>
              <w:start w:w="120" w:type="dxa"/>
              <w:bottom w:w="90" w:type="dxa"/>
              <w:end w:w="120" w:type="dxa"/>
            </w:tcMar>
          </w:tcPr>
          <w:p>
            <w:pPr>
              <w:spacing w:after="0" w:line="252" w:lineRule="auto"/>
            </w:pPr>
            <w:r>
              <w:rPr>
                <w:sz w:val="17"/>
              </w:rPr>
              <w:t>0</w:t>
            </w:r>
          </w:p>
        </w:tc>
        <w:tc>
          <w:tcPr>
            <w:tcW w:type="dxa" w:w="2232"/>
            <w:vAlign w:val="center"/>
            <w:tcMar>
              <w:top w:w="90" w:type="dxa"/>
              <w:start w:w="120" w:type="dxa"/>
              <w:bottom w:w="90" w:type="dxa"/>
              <w:end w:w="120" w:type="dxa"/>
            </w:tcMar>
          </w:tcPr>
          <w:p>
            <w:pPr>
              <w:spacing w:after="0" w:line="252" w:lineRule="auto"/>
            </w:pPr>
            <w:r>
              <w:rPr>
                <w:sz w:val="17"/>
              </w:rPr>
              <w:t>Tahsilat tutarı</w:t>
            </w:r>
          </w:p>
        </w:tc>
        <w:tc>
          <w:tcPr>
            <w:tcW w:type="dxa" w:w="2664"/>
            <w:vAlign w:val="center"/>
            <w:tcMar>
              <w:top w:w="90" w:type="dxa"/>
              <w:start w:w="120" w:type="dxa"/>
              <w:bottom w:w="90" w:type="dxa"/>
              <w:end w:w="120" w:type="dxa"/>
            </w:tcMar>
          </w:tcPr>
          <w:p>
            <w:pPr>
              <w:spacing w:after="0" w:line="252" w:lineRule="auto"/>
            </w:pPr>
            <w:r>
              <w:rPr>
                <w:sz w:val="17"/>
              </w:rPr>
              <w:t>Etkisiz</w:t>
            </w:r>
          </w:p>
        </w:tc>
      </w:tr>
      <w:tr>
        <w:tc>
          <w:tcPr>
            <w:tcW w:type="dxa" w:w="2448"/>
            <w:vAlign w:val="center"/>
            <w:tcMar>
              <w:top w:w="90" w:type="dxa"/>
              <w:start w:w="120" w:type="dxa"/>
              <w:bottom w:w="90" w:type="dxa"/>
              <w:end w:w="120" w:type="dxa"/>
            </w:tcMar>
          </w:tcPr>
          <w:p>
            <w:pPr>
              <w:spacing w:after="0" w:line="252" w:lineRule="auto"/>
            </w:pPr>
            <w:r>
              <w:rPr>
                <w:sz w:val="17"/>
              </w:rPr>
              <w:t>Tediye/ödeme</w:t>
            </w:r>
          </w:p>
        </w:tc>
        <w:tc>
          <w:tcPr>
            <w:tcW w:type="dxa" w:w="2232"/>
            <w:vAlign w:val="center"/>
            <w:tcMar>
              <w:top w:w="90" w:type="dxa"/>
              <w:start w:w="120" w:type="dxa"/>
              <w:bottom w:w="90" w:type="dxa"/>
              <w:end w:w="120" w:type="dxa"/>
            </w:tcMar>
          </w:tcPr>
          <w:p>
            <w:pPr>
              <w:spacing w:after="0" w:line="252" w:lineRule="auto"/>
            </w:pPr>
            <w:r>
              <w:rPr>
                <w:sz w:val="17"/>
              </w:rPr>
              <w:t>Ödeme tutarı</w:t>
            </w:r>
          </w:p>
        </w:tc>
        <w:tc>
          <w:tcPr>
            <w:tcW w:type="dxa" w:w="2232"/>
            <w:vAlign w:val="center"/>
            <w:tcMar>
              <w:top w:w="90" w:type="dxa"/>
              <w:start w:w="120" w:type="dxa"/>
              <w:bottom w:w="90" w:type="dxa"/>
              <w:end w:w="120" w:type="dxa"/>
            </w:tcMar>
          </w:tcPr>
          <w:p>
            <w:pPr>
              <w:spacing w:after="0" w:line="252" w:lineRule="auto"/>
            </w:pPr>
            <w:r>
              <w:rPr>
                <w:sz w:val="17"/>
              </w:rPr>
              <w:t>0</w:t>
            </w:r>
          </w:p>
        </w:tc>
        <w:tc>
          <w:tcPr>
            <w:tcW w:type="dxa" w:w="2664"/>
            <w:vAlign w:val="center"/>
            <w:tcMar>
              <w:top w:w="90" w:type="dxa"/>
              <w:start w:w="120" w:type="dxa"/>
              <w:bottom w:w="90" w:type="dxa"/>
              <w:end w:w="120" w:type="dxa"/>
            </w:tcMar>
          </w:tcPr>
          <w:p>
            <w:pPr>
              <w:spacing w:after="0" w:line="252" w:lineRule="auto"/>
            </w:pPr>
            <w:r>
              <w:rPr>
                <w:sz w:val="17"/>
              </w:rPr>
              <w:t>Etkisiz</w:t>
            </w:r>
          </w:p>
        </w:tc>
      </w:tr>
    </w:tbl>
    <w:p>
      <w:pPr>
        <w:spacing w:after="20"/>
      </w:pPr>
    </w:p>
    <w:p>
      <w:r>
        <w:t>Dört işlem yönü için posting altyapısı bulunmaktadır. Tahsilat/tediye servisi cari ve kasa/banka hareketlerini aynı Serializable transaction içinde üretir; kullanıcı ekranı ve ters kayıt akışı sonraki adımdır.</w:t>
      </w:r>
    </w:p>
    <w:p>
      <w:pPr>
        <w:pStyle w:val="Heading2"/>
      </w:pPr>
      <w:r>
        <w:t>6.4 İptal ve ters kayıt</w:t>
      </w:r>
    </w:p>
    <w:tbl>
      <w:tblPr>
        <w:tblW w:type="auto" w:w="0"/>
        <w:jc w:val="center"/>
        <w:tblLayout w:type="fixed"/>
        <w:tblLook w:firstColumn="1" w:firstRow="1" w:lastColumn="0" w:lastRow="0" w:noHBand="0" w:noVBand="1" w:val="04A0"/>
      </w:tblPr>
      <w:tblGrid>
        <w:gridCol w:w="9792"/>
      </w:tblGrid>
      <w:tr>
        <w:tc>
          <w:tcPr>
            <w:tcW w:type="dxa" w:w="9576"/>
            <w:shd w:fill="FCE4D6"/>
            <w:tcMar>
              <w:top w:w="140" w:type="dxa"/>
              <w:start w:w="180" w:type="dxa"/>
              <w:bottom w:w="140" w:type="dxa"/>
              <w:end w:w="180" w:type="dxa"/>
            </w:tcMar>
          </w:tcPr>
          <w:p>
            <w:pPr>
              <w:spacing w:after="40"/>
            </w:pPr>
            <w:r>
              <w:rPr>
                <w:b/>
                <w:color w:val="0B2545"/>
              </w:rPr>
              <w:t xml:space="preserve">Canlıya çıkış engeli  </w:t>
            </w:r>
            <w:r>
              <w:t>Onaylanmış fatura, stok fişi, sayım ve sevk için iptal/ters hareket servisi henüz yoktur. Ön muhasebede onaylı kayıt silinmemeli; aynı kaynak belgeye bağlı ters stok, ters cari ve ters finans hareketi üretilmelidir.</w:t>
            </w:r>
          </w:p>
        </w:tc>
      </w:tr>
    </w:tbl>
    <w:p>
      <w:pPr>
        <w:spacing w:after="0"/>
      </w:pPr>
    </w:p>
    <w:p>
      <w:pPr>
        <w:pStyle w:val="Heading1"/>
      </w:pPr>
      <w:r>
        <w:t>7. Parametrik yapı</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92"/>
            <w:shd w:fill="E8EEF5"/>
            <w:vAlign w:val="center"/>
            <w:tcMar>
              <w:top w:w="90" w:type="dxa"/>
              <w:start w:w="120" w:type="dxa"/>
              <w:bottom w:w="90" w:type="dxa"/>
              <w:end w:w="120" w:type="dxa"/>
            </w:tcMar>
          </w:tcPr>
          <w:p>
            <w:pPr>
              <w:spacing w:after="0"/>
            </w:pPr>
            <w:r>
              <w:rPr>
                <w:b/>
                <w:color w:val="0B2545"/>
                <w:sz w:val="18"/>
              </w:rPr>
              <w:t>Parametre</w:t>
            </w:r>
          </w:p>
        </w:tc>
        <w:tc>
          <w:tcPr>
            <w:tcW w:type="dxa" w:w="3528"/>
            <w:shd w:fill="E8EEF5"/>
            <w:vAlign w:val="center"/>
            <w:tcMar>
              <w:top w:w="90" w:type="dxa"/>
              <w:start w:w="120" w:type="dxa"/>
              <w:bottom w:w="90" w:type="dxa"/>
              <w:end w:w="120" w:type="dxa"/>
            </w:tcMar>
          </w:tcPr>
          <w:p>
            <w:pPr>
              <w:spacing w:after="0"/>
            </w:pPr>
            <w:r>
              <w:rPr>
                <w:b/>
                <w:color w:val="0B2545"/>
                <w:sz w:val="18"/>
              </w:rPr>
              <w:t>Mevcut amaç</w:t>
            </w:r>
          </w:p>
        </w:tc>
        <w:tc>
          <w:tcPr>
            <w:tcW w:type="dxa" w:w="3456"/>
            <w:shd w:fill="E8EEF5"/>
            <w:vAlign w:val="center"/>
            <w:tcMar>
              <w:top w:w="90" w:type="dxa"/>
              <w:start w:w="120" w:type="dxa"/>
              <w:bottom w:w="90" w:type="dxa"/>
              <w:end w:w="120" w:type="dxa"/>
            </w:tcMar>
          </w:tcPr>
          <w:p>
            <w:pPr>
              <w:spacing w:after="0"/>
            </w:pPr>
            <w:r>
              <w:rPr>
                <w:b/>
                <w:color w:val="0B2545"/>
                <w:sz w:val="18"/>
              </w:rPr>
              <w:t>Denetim</w:t>
            </w:r>
          </w:p>
        </w:tc>
      </w:tr>
      <w:tr>
        <w:tc>
          <w:tcPr>
            <w:tcW w:type="dxa" w:w="2592"/>
            <w:vAlign w:val="center"/>
            <w:tcMar>
              <w:top w:w="90" w:type="dxa"/>
              <w:start w:w="120" w:type="dxa"/>
              <w:bottom w:w="90" w:type="dxa"/>
              <w:end w:w="120" w:type="dxa"/>
            </w:tcMar>
          </w:tcPr>
          <w:p>
            <w:pPr>
              <w:spacing w:after="0" w:line="252" w:lineRule="auto"/>
            </w:pPr>
            <w:r>
              <w:rPr>
                <w:sz w:val="17"/>
              </w:rPr>
              <w:t>RequireBarcode</w:t>
            </w:r>
          </w:p>
        </w:tc>
        <w:tc>
          <w:tcPr>
            <w:tcW w:type="dxa" w:w="3528"/>
            <w:vAlign w:val="center"/>
            <w:tcMar>
              <w:top w:w="90" w:type="dxa"/>
              <w:start w:w="120" w:type="dxa"/>
              <w:bottom w:w="90" w:type="dxa"/>
              <w:end w:w="120" w:type="dxa"/>
            </w:tcMar>
          </w:tcPr>
          <w:p>
            <w:pPr>
              <w:spacing w:after="0" w:line="252" w:lineRule="auto"/>
            </w:pPr>
            <w:r>
              <w:rPr>
                <w:sz w:val="17"/>
              </w:rPr>
              <w:t>Barkod zorunluluğu</w:t>
            </w:r>
          </w:p>
        </w:tc>
        <w:tc>
          <w:tcPr>
            <w:tcW w:type="dxa" w:w="3456"/>
            <w:vAlign w:val="center"/>
            <w:tcMar>
              <w:top w:w="90" w:type="dxa"/>
              <w:start w:w="120" w:type="dxa"/>
              <w:bottom w:w="90" w:type="dxa"/>
              <w:end w:w="120" w:type="dxa"/>
            </w:tcMar>
          </w:tcPr>
          <w:p>
            <w:pPr>
              <w:spacing w:after="0" w:line="252" w:lineRule="auto"/>
            </w:pPr>
            <w:r>
              <w:rPr>
                <w:sz w:val="17"/>
              </w:rPr>
              <w:t>Serviste kullanılıyor.</w:t>
            </w:r>
          </w:p>
        </w:tc>
      </w:tr>
      <w:tr>
        <w:tc>
          <w:tcPr>
            <w:tcW w:type="dxa" w:w="2592"/>
            <w:vAlign w:val="center"/>
            <w:tcMar>
              <w:top w:w="90" w:type="dxa"/>
              <w:start w:w="120" w:type="dxa"/>
              <w:bottom w:w="90" w:type="dxa"/>
              <w:end w:w="120" w:type="dxa"/>
            </w:tcMar>
          </w:tcPr>
          <w:p>
            <w:pPr>
              <w:spacing w:after="0" w:line="252" w:lineRule="auto"/>
            </w:pPr>
            <w:r>
              <w:rPr>
                <w:sz w:val="17"/>
              </w:rPr>
              <w:t>AutoGenerateBarcode</w:t>
            </w:r>
          </w:p>
        </w:tc>
        <w:tc>
          <w:tcPr>
            <w:tcW w:type="dxa" w:w="3528"/>
            <w:vAlign w:val="center"/>
            <w:tcMar>
              <w:top w:w="90" w:type="dxa"/>
              <w:start w:w="120" w:type="dxa"/>
              <w:bottom w:w="90" w:type="dxa"/>
              <w:end w:w="120" w:type="dxa"/>
            </w:tcMar>
          </w:tcPr>
          <w:p>
            <w:pPr>
              <w:spacing w:after="0" w:line="252" w:lineRule="auto"/>
            </w:pPr>
            <w:r>
              <w:rPr>
                <w:sz w:val="17"/>
              </w:rPr>
              <w:t>Boş barkodu üretme</w:t>
            </w:r>
          </w:p>
        </w:tc>
        <w:tc>
          <w:tcPr>
            <w:tcW w:type="dxa" w:w="3456"/>
            <w:vAlign w:val="center"/>
            <w:tcMar>
              <w:top w:w="90" w:type="dxa"/>
              <w:start w:w="120" w:type="dxa"/>
              <w:bottom w:w="90" w:type="dxa"/>
              <w:end w:w="120" w:type="dxa"/>
            </w:tcMar>
          </w:tcPr>
          <w:p>
            <w:pPr>
              <w:spacing w:after="0" w:line="252" w:lineRule="auto"/>
            </w:pPr>
            <w:r>
              <w:rPr>
                <w:sz w:val="17"/>
              </w:rPr>
              <w:t>Serviste kullanılıyor.</w:t>
            </w:r>
          </w:p>
        </w:tc>
      </w:tr>
      <w:tr>
        <w:tc>
          <w:tcPr>
            <w:tcW w:type="dxa" w:w="2592"/>
            <w:vAlign w:val="center"/>
            <w:tcMar>
              <w:top w:w="90" w:type="dxa"/>
              <w:start w:w="120" w:type="dxa"/>
              <w:bottom w:w="90" w:type="dxa"/>
              <w:end w:w="120" w:type="dxa"/>
            </w:tcMar>
          </w:tcPr>
          <w:p>
            <w:pPr>
              <w:spacing w:after="0" w:line="252" w:lineRule="auto"/>
            </w:pPr>
            <w:r>
              <w:rPr>
                <w:sz w:val="17"/>
              </w:rPr>
              <w:t>DefaultBarcodeType</w:t>
            </w:r>
          </w:p>
        </w:tc>
        <w:tc>
          <w:tcPr>
            <w:tcW w:type="dxa" w:w="3528"/>
            <w:vAlign w:val="center"/>
            <w:tcMar>
              <w:top w:w="90" w:type="dxa"/>
              <w:start w:w="120" w:type="dxa"/>
              <w:bottom w:w="90" w:type="dxa"/>
              <w:end w:w="120" w:type="dxa"/>
            </w:tcMar>
          </w:tcPr>
          <w:p>
            <w:pPr>
              <w:spacing w:after="0" w:line="252" w:lineRule="auto"/>
            </w:pPr>
            <w:r>
              <w:rPr>
                <w:sz w:val="17"/>
              </w:rPr>
              <w:t>EAN13/EAN8 seçimi</w:t>
            </w:r>
          </w:p>
        </w:tc>
        <w:tc>
          <w:tcPr>
            <w:tcW w:type="dxa" w:w="3456"/>
            <w:vAlign w:val="center"/>
            <w:tcMar>
              <w:top w:w="90" w:type="dxa"/>
              <w:start w:w="120" w:type="dxa"/>
              <w:bottom w:w="90" w:type="dxa"/>
              <w:end w:w="120" w:type="dxa"/>
            </w:tcMar>
          </w:tcPr>
          <w:p>
            <w:pPr>
              <w:spacing w:after="0" w:line="252" w:lineRule="auto"/>
            </w:pPr>
            <w:r>
              <w:rPr>
                <w:sz w:val="17"/>
              </w:rPr>
              <w:t>Ürün oluşturma akışında kullanılıyor.</w:t>
            </w:r>
          </w:p>
        </w:tc>
      </w:tr>
      <w:tr>
        <w:tc>
          <w:tcPr>
            <w:tcW w:type="dxa" w:w="2592"/>
            <w:vAlign w:val="center"/>
            <w:tcMar>
              <w:top w:w="90" w:type="dxa"/>
              <w:start w:w="120" w:type="dxa"/>
              <w:bottom w:w="90" w:type="dxa"/>
              <w:end w:w="120" w:type="dxa"/>
            </w:tcMar>
          </w:tcPr>
          <w:p>
            <w:pPr>
              <w:spacing w:after="0" w:line="252" w:lineRule="auto"/>
            </w:pPr>
            <w:r>
              <w:rPr>
                <w:sz w:val="17"/>
              </w:rPr>
              <w:t>EnforceStockLevel</w:t>
            </w:r>
          </w:p>
        </w:tc>
        <w:tc>
          <w:tcPr>
            <w:tcW w:type="dxa" w:w="3528"/>
            <w:vAlign w:val="center"/>
            <w:tcMar>
              <w:top w:w="90" w:type="dxa"/>
              <w:start w:w="120" w:type="dxa"/>
              <w:bottom w:w="90" w:type="dxa"/>
              <w:end w:w="120" w:type="dxa"/>
            </w:tcMar>
          </w:tcPr>
          <w:p>
            <w:pPr>
              <w:spacing w:after="0" w:line="252" w:lineRule="auto"/>
            </w:pPr>
            <w:r>
              <w:rPr>
                <w:sz w:val="17"/>
              </w:rPr>
              <w:t>Stok seviyesi kontrolü</w:t>
            </w:r>
          </w:p>
        </w:tc>
        <w:tc>
          <w:tcPr>
            <w:tcW w:type="dxa" w:w="3456"/>
            <w:vAlign w:val="center"/>
            <w:tcMar>
              <w:top w:w="90" w:type="dxa"/>
              <w:start w:w="120" w:type="dxa"/>
              <w:bottom w:w="90" w:type="dxa"/>
              <w:end w:w="120" w:type="dxa"/>
            </w:tcMar>
          </w:tcPr>
          <w:p>
            <w:pPr>
              <w:spacing w:after="0" w:line="252" w:lineRule="auto"/>
            </w:pPr>
            <w:r>
              <w:rPr>
                <w:sz w:val="17"/>
              </w:rPr>
              <w:t>Fatura, transfer ve stok çıkışında kullanılıyor.</w:t>
            </w:r>
          </w:p>
        </w:tc>
      </w:tr>
      <w:tr>
        <w:tc>
          <w:tcPr>
            <w:tcW w:type="dxa" w:w="2592"/>
            <w:vAlign w:val="center"/>
            <w:tcMar>
              <w:top w:w="90" w:type="dxa"/>
              <w:start w:w="120" w:type="dxa"/>
              <w:bottom w:w="90" w:type="dxa"/>
              <w:end w:w="120" w:type="dxa"/>
            </w:tcMar>
          </w:tcPr>
          <w:p>
            <w:pPr>
              <w:spacing w:after="0" w:line="252" w:lineRule="auto"/>
            </w:pPr>
            <w:r>
              <w:rPr>
                <w:sz w:val="17"/>
              </w:rPr>
              <w:t>AllowNegativeStock</w:t>
            </w:r>
          </w:p>
        </w:tc>
        <w:tc>
          <w:tcPr>
            <w:tcW w:type="dxa" w:w="3528"/>
            <w:vAlign w:val="center"/>
            <w:tcMar>
              <w:top w:w="90" w:type="dxa"/>
              <w:start w:w="120" w:type="dxa"/>
              <w:bottom w:w="90" w:type="dxa"/>
              <w:end w:w="120" w:type="dxa"/>
            </w:tcMar>
          </w:tcPr>
          <w:p>
            <w:pPr>
              <w:spacing w:after="0" w:line="252" w:lineRule="auto"/>
            </w:pPr>
            <w:r>
              <w:rPr>
                <w:sz w:val="17"/>
              </w:rPr>
              <w:t>Negatif stok izni</w:t>
            </w:r>
          </w:p>
        </w:tc>
        <w:tc>
          <w:tcPr>
            <w:tcW w:type="dxa" w:w="3456"/>
            <w:vAlign w:val="center"/>
            <w:tcMar>
              <w:top w:w="90" w:type="dxa"/>
              <w:start w:w="120" w:type="dxa"/>
              <w:bottom w:w="90" w:type="dxa"/>
              <w:end w:w="120" w:type="dxa"/>
            </w:tcMar>
          </w:tcPr>
          <w:p>
            <w:pPr>
              <w:spacing w:after="0" w:line="252" w:lineRule="auto"/>
            </w:pPr>
            <w:r>
              <w:rPr>
                <w:sz w:val="17"/>
              </w:rPr>
              <w:t>Posting kontrollerinde kullanılıyor.</w:t>
            </w:r>
          </w:p>
        </w:tc>
      </w:tr>
      <w:tr>
        <w:tc>
          <w:tcPr>
            <w:tcW w:type="dxa" w:w="2592"/>
            <w:vAlign w:val="center"/>
            <w:tcMar>
              <w:top w:w="90" w:type="dxa"/>
              <w:start w:w="120" w:type="dxa"/>
              <w:bottom w:w="90" w:type="dxa"/>
              <w:end w:w="120" w:type="dxa"/>
            </w:tcMar>
          </w:tcPr>
          <w:p>
            <w:pPr>
              <w:spacing w:after="0" w:line="252" w:lineRule="auto"/>
            </w:pPr>
            <w:r>
              <w:rPr>
                <w:sz w:val="17"/>
              </w:rPr>
              <w:t>AllowSaleWhenOutOfStock</w:t>
            </w:r>
          </w:p>
        </w:tc>
        <w:tc>
          <w:tcPr>
            <w:tcW w:type="dxa" w:w="3528"/>
            <w:vAlign w:val="center"/>
            <w:tcMar>
              <w:top w:w="90" w:type="dxa"/>
              <w:start w:w="120" w:type="dxa"/>
              <w:bottom w:w="90" w:type="dxa"/>
              <w:end w:w="120" w:type="dxa"/>
            </w:tcMar>
          </w:tcPr>
          <w:p>
            <w:pPr>
              <w:spacing w:after="0" w:line="252" w:lineRule="auto"/>
            </w:pPr>
            <w:r>
              <w:rPr>
                <w:sz w:val="17"/>
              </w:rPr>
              <w:t>Stoksuz satış</w:t>
            </w:r>
          </w:p>
        </w:tc>
        <w:tc>
          <w:tcPr>
            <w:tcW w:type="dxa" w:w="3456"/>
            <w:vAlign w:val="center"/>
            <w:tcMar>
              <w:top w:w="90" w:type="dxa"/>
              <w:start w:w="120" w:type="dxa"/>
              <w:bottom w:w="90" w:type="dxa"/>
              <w:end w:w="120" w:type="dxa"/>
            </w:tcMar>
          </w:tcPr>
          <w:p>
            <w:pPr>
              <w:spacing w:after="0" w:line="252" w:lineRule="auto"/>
            </w:pPr>
            <w:r>
              <w:rPr>
                <w:sz w:val="17"/>
              </w:rPr>
              <w:t>Satış faturasında kullanılıyor.</w:t>
            </w:r>
          </w:p>
        </w:tc>
      </w:tr>
      <w:tr>
        <w:tc>
          <w:tcPr>
            <w:tcW w:type="dxa" w:w="2592"/>
            <w:vAlign w:val="center"/>
            <w:tcMar>
              <w:top w:w="90" w:type="dxa"/>
              <w:start w:w="120" w:type="dxa"/>
              <w:bottom w:w="90" w:type="dxa"/>
              <w:end w:w="120" w:type="dxa"/>
            </w:tcMar>
          </w:tcPr>
          <w:p>
            <w:pPr>
              <w:spacing w:after="0" w:line="252" w:lineRule="auto"/>
            </w:pPr>
            <w:r>
              <w:rPr>
                <w:sz w:val="17"/>
              </w:rPr>
              <w:t>RequireTransferApproval</w:t>
            </w:r>
          </w:p>
        </w:tc>
        <w:tc>
          <w:tcPr>
            <w:tcW w:type="dxa" w:w="3528"/>
            <w:vAlign w:val="center"/>
            <w:tcMar>
              <w:top w:w="90" w:type="dxa"/>
              <w:start w:w="120" w:type="dxa"/>
              <w:bottom w:w="90" w:type="dxa"/>
              <w:end w:w="120" w:type="dxa"/>
            </w:tcMar>
          </w:tcPr>
          <w:p>
            <w:pPr>
              <w:spacing w:after="0" w:line="252" w:lineRule="auto"/>
            </w:pPr>
            <w:r>
              <w:rPr>
                <w:sz w:val="17"/>
              </w:rPr>
              <w:t>Sevk onayı</w:t>
            </w:r>
          </w:p>
        </w:tc>
        <w:tc>
          <w:tcPr>
            <w:tcW w:type="dxa" w:w="3456"/>
            <w:vAlign w:val="center"/>
            <w:tcMar>
              <w:top w:w="90" w:type="dxa"/>
              <w:start w:w="120" w:type="dxa"/>
              <w:bottom w:w="90" w:type="dxa"/>
              <w:end w:w="120" w:type="dxa"/>
            </w:tcMar>
          </w:tcPr>
          <w:p>
            <w:pPr>
              <w:spacing w:after="0" w:line="252" w:lineRule="auto"/>
            </w:pPr>
            <w:r>
              <w:rPr>
                <w:sz w:val="17"/>
              </w:rPr>
              <w:t>Modelde var; servis akışına tam politika olarak bağlanmalı.</w:t>
            </w:r>
          </w:p>
        </w:tc>
      </w:tr>
      <w:tr>
        <w:tc>
          <w:tcPr>
            <w:tcW w:type="dxa" w:w="2592"/>
            <w:vAlign w:val="center"/>
            <w:tcMar>
              <w:top w:w="90" w:type="dxa"/>
              <w:start w:w="120" w:type="dxa"/>
              <w:bottom w:w="90" w:type="dxa"/>
              <w:end w:w="120" w:type="dxa"/>
            </w:tcMar>
          </w:tcPr>
          <w:p>
            <w:pPr>
              <w:spacing w:after="0" w:line="252" w:lineRule="auto"/>
            </w:pPr>
            <w:r>
              <w:rPr>
                <w:sz w:val="17"/>
              </w:rPr>
              <w:t>TrackStockByVariant</w:t>
            </w:r>
          </w:p>
        </w:tc>
        <w:tc>
          <w:tcPr>
            <w:tcW w:type="dxa" w:w="3528"/>
            <w:vAlign w:val="center"/>
            <w:tcMar>
              <w:top w:w="90" w:type="dxa"/>
              <w:start w:w="120" w:type="dxa"/>
              <w:bottom w:w="90" w:type="dxa"/>
              <w:end w:w="120" w:type="dxa"/>
            </w:tcMar>
          </w:tcPr>
          <w:p>
            <w:pPr>
              <w:spacing w:after="0" w:line="252" w:lineRule="auto"/>
            </w:pPr>
            <w:r>
              <w:rPr>
                <w:sz w:val="17"/>
              </w:rPr>
              <w:t>Varyant bazlı stok</w:t>
            </w:r>
          </w:p>
        </w:tc>
        <w:tc>
          <w:tcPr>
            <w:tcW w:type="dxa" w:w="3456"/>
            <w:vAlign w:val="center"/>
            <w:tcMar>
              <w:top w:w="90" w:type="dxa"/>
              <w:start w:w="120" w:type="dxa"/>
              <w:bottom w:w="90" w:type="dxa"/>
              <w:end w:w="120" w:type="dxa"/>
            </w:tcMar>
          </w:tcPr>
          <w:p>
            <w:pPr>
              <w:spacing w:after="0" w:line="252" w:lineRule="auto"/>
            </w:pPr>
            <w:r>
              <w:rPr>
                <w:sz w:val="17"/>
              </w:rPr>
              <w:t>Model var; fatura kontrolü varyantı tam filtrelemiyor.</w:t>
            </w:r>
          </w:p>
        </w:tc>
      </w:tr>
      <w:tr>
        <w:tc>
          <w:tcPr>
            <w:tcW w:type="dxa" w:w="2592"/>
            <w:vAlign w:val="center"/>
            <w:tcMar>
              <w:top w:w="90" w:type="dxa"/>
              <w:start w:w="120" w:type="dxa"/>
              <w:bottom w:w="90" w:type="dxa"/>
              <w:end w:w="120" w:type="dxa"/>
            </w:tcMar>
          </w:tcPr>
          <w:p>
            <w:pPr>
              <w:spacing w:after="0" w:line="252" w:lineRule="auto"/>
            </w:pPr>
            <w:r>
              <w:rPr>
                <w:sz w:val="17"/>
              </w:rPr>
              <w:t>RequireProductVariant</w:t>
            </w:r>
          </w:p>
        </w:tc>
        <w:tc>
          <w:tcPr>
            <w:tcW w:type="dxa" w:w="3528"/>
            <w:vAlign w:val="center"/>
            <w:tcMar>
              <w:top w:w="90" w:type="dxa"/>
              <w:start w:w="120" w:type="dxa"/>
              <w:bottom w:w="90" w:type="dxa"/>
              <w:end w:w="120" w:type="dxa"/>
            </w:tcMar>
          </w:tcPr>
          <w:p>
            <w:pPr>
              <w:spacing w:after="0" w:line="252" w:lineRule="auto"/>
            </w:pPr>
            <w:r>
              <w:rPr>
                <w:sz w:val="17"/>
              </w:rPr>
              <w:t>Varyant seçimini zorunlu yapma</w:t>
            </w:r>
          </w:p>
        </w:tc>
        <w:tc>
          <w:tcPr>
            <w:tcW w:type="dxa" w:w="3456"/>
            <w:vAlign w:val="center"/>
            <w:tcMar>
              <w:top w:w="90" w:type="dxa"/>
              <w:start w:w="120" w:type="dxa"/>
              <w:bottom w:w="90" w:type="dxa"/>
              <w:end w:w="120" w:type="dxa"/>
            </w:tcMar>
          </w:tcPr>
          <w:p>
            <w:pPr>
              <w:spacing w:after="0" w:line="252" w:lineRule="auto"/>
            </w:pPr>
            <w:r>
              <w:rPr>
                <w:sz w:val="17"/>
              </w:rPr>
              <w:t>Varsayılan kapalı; açılırsa varyantlı üründe seçim zorunlu.</w:t>
            </w:r>
          </w:p>
        </w:tc>
      </w:tr>
      <w:tr>
        <w:tc>
          <w:tcPr>
            <w:tcW w:type="dxa" w:w="2592"/>
            <w:vAlign w:val="center"/>
            <w:tcMar>
              <w:top w:w="90" w:type="dxa"/>
              <w:start w:w="120" w:type="dxa"/>
              <w:bottom w:w="90" w:type="dxa"/>
              <w:end w:w="120" w:type="dxa"/>
            </w:tcMar>
          </w:tcPr>
          <w:p>
            <w:pPr>
              <w:spacing w:after="0" w:line="252" w:lineRule="auto"/>
            </w:pPr>
            <w:r>
              <w:rPr>
                <w:sz w:val="17"/>
              </w:rPr>
              <w:t>PreventSaleBelowCost</w:t>
            </w:r>
          </w:p>
        </w:tc>
        <w:tc>
          <w:tcPr>
            <w:tcW w:type="dxa" w:w="3528"/>
            <w:vAlign w:val="center"/>
            <w:tcMar>
              <w:top w:w="90" w:type="dxa"/>
              <w:start w:w="120" w:type="dxa"/>
              <w:bottom w:w="90" w:type="dxa"/>
              <w:end w:w="120" w:type="dxa"/>
            </w:tcMar>
          </w:tcPr>
          <w:p>
            <w:pPr>
              <w:spacing w:after="0" w:line="252" w:lineRule="auto"/>
            </w:pPr>
            <w:r>
              <w:rPr>
                <w:sz w:val="17"/>
              </w:rPr>
              <w:t>Maliyet altı satış engeli</w:t>
            </w:r>
          </w:p>
        </w:tc>
        <w:tc>
          <w:tcPr>
            <w:tcW w:type="dxa" w:w="3456"/>
            <w:vAlign w:val="center"/>
            <w:tcMar>
              <w:top w:w="90" w:type="dxa"/>
              <w:start w:w="120" w:type="dxa"/>
              <w:bottom w:w="90" w:type="dxa"/>
              <w:end w:w="120" w:type="dxa"/>
            </w:tcMar>
          </w:tcPr>
          <w:p>
            <w:pPr>
              <w:spacing w:after="0" w:line="252" w:lineRule="auto"/>
            </w:pPr>
            <w:r>
              <w:rPr>
                <w:sz w:val="17"/>
              </w:rPr>
              <w:t>Parametre var; henüz posting kuralına bağlanmamış.</w:t>
            </w:r>
          </w:p>
        </w:tc>
      </w:tr>
    </w:tbl>
    <w:p>
      <w:pPr>
        <w:spacing w:after="20"/>
      </w:pPr>
    </w:p>
    <w:p>
      <w:r>
        <w:br w:type="page"/>
      </w:r>
    </w:p>
    <w:p>
      <w:pPr>
        <w:pStyle w:val="Heading1"/>
      </w:pPr>
      <w:r>
        <w:t>8. Veritabanı bütünlüğü denetimi</w:t>
      </w:r>
    </w:p>
    <w:p>
      <w:pPr>
        <w:pStyle w:val="Heading2"/>
      </w:pPr>
      <w:r>
        <w:t>8.1 Güçlü yönler</w:t>
      </w:r>
    </w:p>
    <w:p>
      <w:pPr>
        <w:pStyle w:val="ListBullet"/>
      </w:pPr>
      <w:r>
        <w:t>Stok kodu, barkod, kategori kodu, depo kodu, belge numaraları ve birçok referans için benzersiz indeksler var.</w:t>
      </w:r>
    </w:p>
    <w:p>
      <w:pPr>
        <w:pStyle w:val="ListBullet"/>
      </w:pPr>
      <w:r>
        <w:t>Para ve miktar alanları için açık decimal precision tanımları var.</w:t>
      </w:r>
    </w:p>
    <w:p>
      <w:pPr>
        <w:pStyle w:val="ListBullet"/>
      </w:pPr>
      <w:r>
        <w:t>Negatif fiyat, sıfır miktarlı satır, aynı depo arası sevk ve aynı satır numarası gibi hataları engelleyen check/unique kuralları var.</w:t>
      </w:r>
    </w:p>
    <w:p>
      <w:pPr>
        <w:pStyle w:val="ListBullet"/>
      </w:pPr>
      <w:r>
        <w:t>Master kayıt silmelerinde Restrict; belge satırlarında uygun yerlerde Cascade; opsiyonel kaynak bağlantılarında SetNull kullanılmış.</w:t>
      </w:r>
    </w:p>
    <w:p>
      <w:pPr>
        <w:pStyle w:val="ListBullet"/>
      </w:pPr>
      <w:r>
        <w:t>Cari hareketi aynı anda hem borç hem alacak olamayacak biçimde check constraint ile korunuyor.</w:t>
      </w:r>
    </w:p>
    <w:p>
      <w:pPr>
        <w:pStyle w:val="ListBullet"/>
      </w:pPr>
      <w:r>
        <w:t>Her iş tablosunda benzersiz RecordId indeksi var.</w:t>
      </w:r>
    </w:p>
    <w:p>
      <w:pPr>
        <w:pStyle w:val="ListBullet"/>
      </w:pPr>
      <w:r>
        <w:t>Arama ve föy sorguları için ürün/depo/tarih, cari/tarih, belge numarası ve durum indeksleri var.</w:t>
      </w:r>
    </w:p>
    <w:p>
      <w:pPr>
        <w:pStyle w:val="Heading2"/>
      </w:pPr>
      <w:r>
        <w:t>8.2 Düzeltilmesi gereken veri kuralları</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shd w:fill="E8EEF5"/>
            <w:vAlign w:val="center"/>
            <w:tcMar>
              <w:top w:w="90" w:type="dxa"/>
              <w:start w:w="120" w:type="dxa"/>
              <w:bottom w:w="90" w:type="dxa"/>
              <w:end w:w="120" w:type="dxa"/>
            </w:tcMar>
          </w:tcPr>
          <w:p>
            <w:pPr>
              <w:spacing w:after="0"/>
            </w:pPr>
            <w:r>
              <w:rPr>
                <w:b/>
                <w:color w:val="0B2545"/>
                <w:sz w:val="18"/>
              </w:rPr>
              <w:t>Öncelik</w:t>
            </w:r>
          </w:p>
        </w:tc>
        <w:tc>
          <w:tcPr>
            <w:tcW w:type="dxa" w:w="4392"/>
            <w:shd w:fill="E8EEF5"/>
            <w:vAlign w:val="center"/>
            <w:tcMar>
              <w:top w:w="90" w:type="dxa"/>
              <w:start w:w="120" w:type="dxa"/>
              <w:bottom w:w="90" w:type="dxa"/>
              <w:end w:w="120" w:type="dxa"/>
            </w:tcMar>
          </w:tcPr>
          <w:p>
            <w:pPr>
              <w:spacing w:after="0"/>
            </w:pPr>
            <w:r>
              <w:rPr>
                <w:b/>
                <w:color w:val="0B2545"/>
                <w:sz w:val="18"/>
              </w:rPr>
              <w:t>Bulgu</w:t>
            </w:r>
          </w:p>
        </w:tc>
        <w:tc>
          <w:tcPr>
            <w:tcW w:type="dxa" w:w="4248"/>
            <w:shd w:fill="E8EEF5"/>
            <w:vAlign w:val="center"/>
            <w:tcMar>
              <w:top w:w="90" w:type="dxa"/>
              <w:start w:w="120" w:type="dxa"/>
              <w:bottom w:w="90" w:type="dxa"/>
              <w:end w:w="120" w:type="dxa"/>
            </w:tcMar>
          </w:tcPr>
          <w:p>
            <w:pPr>
              <w:spacing w:after="0"/>
            </w:pPr>
            <w:r>
              <w:rPr>
                <w:b/>
                <w:color w:val="0B2545"/>
                <w:sz w:val="18"/>
              </w:rPr>
              <w:t>Önerilen çözüm</w:t>
            </w:r>
          </w:p>
        </w:tc>
      </w:tr>
      <w:tr>
        <w:tc>
          <w:tcPr>
            <w:tcW w:type="dxa" w:w="936"/>
            <w:vAlign w:val="center"/>
            <w:tcMar>
              <w:top w:w="90" w:type="dxa"/>
              <w:start w:w="120" w:type="dxa"/>
              <w:bottom w:w="90" w:type="dxa"/>
              <w:end w:w="120" w:type="dxa"/>
            </w:tcMar>
          </w:tcPr>
          <w:p>
            <w:pPr>
              <w:spacing w:after="0" w:line="252" w:lineRule="auto"/>
            </w:pPr>
            <w:r>
              <w:rPr>
                <w:sz w:val="17"/>
              </w:rPr>
              <w:t>Tamam</w:t>
            </w:r>
          </w:p>
        </w:tc>
        <w:tc>
          <w:tcPr>
            <w:tcW w:type="dxa" w:w="4392"/>
            <w:vAlign w:val="center"/>
            <w:tcMar>
              <w:top w:w="90" w:type="dxa"/>
              <w:start w:w="120" w:type="dxa"/>
              <w:bottom w:w="90" w:type="dxa"/>
              <w:end w:w="120" w:type="dxa"/>
            </w:tcMar>
          </w:tcPr>
          <w:p>
            <w:pPr>
              <w:spacing w:after="0" w:line="252" w:lineRule="auto"/>
            </w:pPr>
            <w:r>
              <w:rPr>
                <w:sz w:val="17"/>
              </w:rPr>
              <w:t>Stok kartı açılışı ve manuel miktar riski.</w:t>
            </w:r>
          </w:p>
        </w:tc>
        <w:tc>
          <w:tcPr>
            <w:tcW w:type="dxa" w:w="4248"/>
            <w:vAlign w:val="center"/>
            <w:tcMar>
              <w:top w:w="90" w:type="dxa"/>
              <w:start w:w="120" w:type="dxa"/>
              <w:bottom w:w="90" w:type="dxa"/>
              <w:end w:w="120" w:type="dxa"/>
            </w:tcMar>
          </w:tcPr>
          <w:p>
            <w:pPr>
              <w:spacing w:after="0" w:line="252" w:lineRule="auto"/>
            </w:pPr>
            <w:r>
              <w:rPr>
                <w:sz w:val="17"/>
              </w:rPr>
              <w:t>Açılış hareketi eklendi; düzenlemede miktar salt okunur.</w:t>
            </w:r>
          </w:p>
        </w:tc>
      </w:tr>
      <w:tr>
        <w:tc>
          <w:tcPr>
            <w:tcW w:type="dxa" w:w="936"/>
            <w:vAlign w:val="center"/>
            <w:tcMar>
              <w:top w:w="90" w:type="dxa"/>
              <w:start w:w="120" w:type="dxa"/>
              <w:bottom w:w="90" w:type="dxa"/>
              <w:end w:w="120" w:type="dxa"/>
            </w:tcMar>
          </w:tcPr>
          <w:p>
            <w:pPr>
              <w:spacing w:after="0" w:line="252" w:lineRule="auto"/>
            </w:pPr>
            <w:r>
              <w:rPr>
                <w:sz w:val="17"/>
              </w:rPr>
              <w:t>P0</w:t>
            </w:r>
          </w:p>
        </w:tc>
        <w:tc>
          <w:tcPr>
            <w:tcW w:type="dxa" w:w="4392"/>
            <w:vAlign w:val="center"/>
            <w:tcMar>
              <w:top w:w="90" w:type="dxa"/>
              <w:start w:w="120" w:type="dxa"/>
              <w:bottom w:w="90" w:type="dxa"/>
              <w:end w:w="120" w:type="dxa"/>
            </w:tcMar>
          </w:tcPr>
          <w:p>
            <w:pPr>
              <w:spacing w:after="0" w:line="252" w:lineRule="auto"/>
            </w:pPr>
            <w:r>
              <w:rPr>
                <w:sz w:val="17"/>
              </w:rPr>
              <w:t>Onaylı belgelerin iptal/ters kayıt altyapısı yok.</w:t>
            </w:r>
          </w:p>
        </w:tc>
        <w:tc>
          <w:tcPr>
            <w:tcW w:type="dxa" w:w="4248"/>
            <w:vAlign w:val="center"/>
            <w:tcMar>
              <w:top w:w="90" w:type="dxa"/>
              <w:start w:w="120" w:type="dxa"/>
              <w:bottom w:w="90" w:type="dxa"/>
              <w:end w:w="120" w:type="dxa"/>
            </w:tcMar>
          </w:tcPr>
          <w:p>
            <w:pPr>
              <w:spacing w:after="0" w:line="252" w:lineRule="auto"/>
            </w:pPr>
            <w:r>
              <w:rPr>
                <w:sz w:val="17"/>
              </w:rPr>
              <w:t>Kaynak belge + ReversalOfRecordId ile ters hareket servisi kurulsun.</w:t>
            </w:r>
          </w:p>
        </w:tc>
      </w:tr>
      <w:tr>
        <w:tc>
          <w:tcPr>
            <w:tcW w:type="dxa" w:w="936"/>
            <w:vAlign w:val="center"/>
            <w:tcMar>
              <w:top w:w="90" w:type="dxa"/>
              <w:start w:w="120" w:type="dxa"/>
              <w:bottom w:w="90" w:type="dxa"/>
              <w:end w:w="120" w:type="dxa"/>
            </w:tcMar>
          </w:tcPr>
          <w:p>
            <w:pPr>
              <w:spacing w:after="0" w:line="252" w:lineRule="auto"/>
            </w:pPr>
            <w:r>
              <w:rPr>
                <w:sz w:val="17"/>
              </w:rPr>
              <w:t>Tamam</w:t>
            </w:r>
          </w:p>
        </w:tc>
        <w:tc>
          <w:tcPr>
            <w:tcW w:type="dxa" w:w="4392"/>
            <w:vAlign w:val="center"/>
            <w:tcMar>
              <w:top w:w="90" w:type="dxa"/>
              <w:start w:w="120" w:type="dxa"/>
              <w:bottom w:w="90" w:type="dxa"/>
              <w:end w:w="120" w:type="dxa"/>
            </w:tcMar>
          </w:tcPr>
          <w:p>
            <w:pPr>
              <w:spacing w:after="0" w:line="252" w:lineRule="auto"/>
            </w:pPr>
            <w:r>
              <w:rPr>
                <w:sz w:val="17"/>
              </w:rPr>
              <w:t>Authentication middleware sırası.</w:t>
            </w:r>
          </w:p>
        </w:tc>
        <w:tc>
          <w:tcPr>
            <w:tcW w:type="dxa" w:w="4248"/>
            <w:vAlign w:val="center"/>
            <w:tcMar>
              <w:top w:w="90" w:type="dxa"/>
              <w:start w:w="120" w:type="dxa"/>
              <w:bottom w:w="90" w:type="dxa"/>
              <w:end w:w="120" w:type="dxa"/>
            </w:tcMar>
          </w:tcPr>
          <w:p>
            <w:pPr>
              <w:spacing w:after="0" w:line="252" w:lineRule="auto"/>
            </w:pPr>
            <w:r>
              <w:rPr>
                <w:sz w:val="17"/>
              </w:rPr>
              <w:t>UseAuthentication(), UseAuthorization() öncesine eklendi.</w:t>
            </w:r>
          </w:p>
        </w:tc>
      </w:tr>
      <w:tr>
        <w:tc>
          <w:tcPr>
            <w:tcW w:type="dxa" w:w="936"/>
            <w:vAlign w:val="center"/>
            <w:tcMar>
              <w:top w:w="90" w:type="dxa"/>
              <w:start w:w="120" w:type="dxa"/>
              <w:bottom w:w="90" w:type="dxa"/>
              <w:end w:w="120" w:type="dxa"/>
            </w:tcMar>
          </w:tcPr>
          <w:p>
            <w:pPr>
              <w:spacing w:after="0" w:line="252" w:lineRule="auto"/>
            </w:pPr>
            <w:r>
              <w:rPr>
                <w:sz w:val="17"/>
              </w:rPr>
              <w:t>P0</w:t>
            </w:r>
          </w:p>
        </w:tc>
        <w:tc>
          <w:tcPr>
            <w:tcW w:type="dxa" w:w="4392"/>
            <w:vAlign w:val="center"/>
            <w:tcMar>
              <w:top w:w="90" w:type="dxa"/>
              <w:start w:w="120" w:type="dxa"/>
              <w:bottom w:w="90" w:type="dxa"/>
              <w:end w:w="120" w:type="dxa"/>
            </w:tcMar>
          </w:tcPr>
          <w:p>
            <w:pPr>
              <w:spacing w:after="0" w:line="252" w:lineRule="auto"/>
            </w:pPr>
            <w:r>
              <w:rPr>
                <w:sz w:val="17"/>
              </w:rPr>
              <w:t>Otomatik test projesi yok.</w:t>
            </w:r>
          </w:p>
        </w:tc>
        <w:tc>
          <w:tcPr>
            <w:tcW w:type="dxa" w:w="4248"/>
            <w:vAlign w:val="center"/>
            <w:tcMar>
              <w:top w:w="90" w:type="dxa"/>
              <w:start w:w="120" w:type="dxa"/>
              <w:bottom w:w="90" w:type="dxa"/>
              <w:end w:w="120" w:type="dxa"/>
            </w:tcMar>
          </w:tcPr>
          <w:p>
            <w:pPr>
              <w:spacing w:after="0" w:line="252" w:lineRule="auto"/>
            </w:pPr>
            <w:r>
              <w:rPr>
                <w:sz w:val="17"/>
              </w:rPr>
              <w:t>SQL Server tabanlı integration testleri ve hesaplama unit testleri eklensin.</w:t>
            </w:r>
          </w:p>
        </w:tc>
      </w:tr>
      <w:tr>
        <w:tc>
          <w:tcPr>
            <w:tcW w:type="dxa" w:w="936"/>
            <w:vAlign w:val="center"/>
            <w:tcMar>
              <w:top w:w="90" w:type="dxa"/>
              <w:start w:w="120" w:type="dxa"/>
              <w:bottom w:w="90" w:type="dxa"/>
              <w:end w:w="120" w:type="dxa"/>
            </w:tcMar>
          </w:tcPr>
          <w:p>
            <w:pPr>
              <w:spacing w:after="0" w:line="252" w:lineRule="auto"/>
            </w:pPr>
            <w:r>
              <w:rPr>
                <w:sz w:val="17"/>
              </w:rPr>
              <w:t>Tamam</w:t>
            </w:r>
          </w:p>
        </w:tc>
        <w:tc>
          <w:tcPr>
            <w:tcW w:type="dxa" w:w="4392"/>
            <w:vAlign w:val="center"/>
            <w:tcMar>
              <w:top w:w="90" w:type="dxa"/>
              <w:start w:w="120" w:type="dxa"/>
              <w:bottom w:w="90" w:type="dxa"/>
              <w:end w:w="120" w:type="dxa"/>
            </w:tcMar>
          </w:tcPr>
          <w:p>
            <w:pPr>
              <w:spacing w:after="0" w:line="252" w:lineRule="auto"/>
            </w:pPr>
            <w:r>
              <w:rPr>
                <w:sz w:val="17"/>
              </w:rPr>
              <w:t>Fatura stok kontrolünde varyant bağlantısı.</w:t>
            </w:r>
          </w:p>
        </w:tc>
        <w:tc>
          <w:tcPr>
            <w:tcW w:type="dxa" w:w="4248"/>
            <w:vAlign w:val="center"/>
            <w:tcMar>
              <w:top w:w="90" w:type="dxa"/>
              <w:start w:w="120" w:type="dxa"/>
              <w:bottom w:w="90" w:type="dxa"/>
              <w:end w:w="120" w:type="dxa"/>
            </w:tcMar>
          </w:tcPr>
          <w:p>
            <w:pPr>
              <w:spacing w:after="0" w:line="252" w:lineRule="auto"/>
            </w:pPr>
            <w:r>
              <w:rPr>
                <w:sz w:val="17"/>
              </w:rPr>
              <w:t>InvoiceLine.ProductVariantId ve foreign key eklendi.</w:t>
            </w:r>
          </w:p>
        </w:tc>
      </w:tr>
      <w:tr>
        <w:tc>
          <w:tcPr>
            <w:tcW w:type="dxa" w:w="936"/>
            <w:vAlign w:val="center"/>
            <w:tcMar>
              <w:top w:w="90" w:type="dxa"/>
              <w:start w:w="120" w:type="dxa"/>
              <w:bottom w:w="90" w:type="dxa"/>
              <w:end w:w="120" w:type="dxa"/>
            </w:tcMar>
          </w:tcPr>
          <w:p>
            <w:pPr>
              <w:spacing w:after="0" w:line="252" w:lineRule="auto"/>
            </w:pPr>
            <w:r>
              <w:rPr>
                <w:sz w:val="17"/>
              </w:rPr>
              <w:t>Tamam</w:t>
            </w:r>
          </w:p>
        </w:tc>
        <w:tc>
          <w:tcPr>
            <w:tcW w:type="dxa" w:w="4392"/>
            <w:vAlign w:val="center"/>
            <w:tcMar>
              <w:top w:w="90" w:type="dxa"/>
              <w:start w:w="120" w:type="dxa"/>
              <w:bottom w:w="90" w:type="dxa"/>
              <w:end w:w="120" w:type="dxa"/>
            </w:tcMar>
          </w:tcPr>
          <w:p>
            <w:pPr>
              <w:spacing w:after="0" w:line="252" w:lineRule="auto"/>
            </w:pPr>
            <w:r>
              <w:rPr>
                <w:sz w:val="17"/>
              </w:rPr>
              <w:t>Ortak kullanılabilir stok hesabı.</w:t>
            </w:r>
          </w:p>
        </w:tc>
        <w:tc>
          <w:tcPr>
            <w:tcW w:type="dxa" w:w="4248"/>
            <w:vAlign w:val="center"/>
            <w:tcMar>
              <w:top w:w="90" w:type="dxa"/>
              <w:start w:w="120" w:type="dxa"/>
              <w:bottom w:w="90" w:type="dxa"/>
              <w:end w:w="120" w:type="dxa"/>
            </w:tcMar>
          </w:tcPr>
          <w:p>
            <w:pPr>
              <w:spacing w:after="0" w:line="252" w:lineRule="auto"/>
            </w:pPr>
            <w:r>
              <w:rPr>
                <w:sz w:val="17"/>
              </w:rPr>
              <w:t>Depo + ürün + varyant + aktif rezervasyon ortak servise taşındı.</w:t>
            </w:r>
          </w:p>
        </w:tc>
      </w:tr>
      <w:tr>
        <w:tc>
          <w:tcPr>
            <w:tcW w:type="dxa" w:w="936"/>
            <w:vAlign w:val="center"/>
            <w:tcMar>
              <w:top w:w="90" w:type="dxa"/>
              <w:start w:w="120" w:type="dxa"/>
              <w:bottom w:w="90" w:type="dxa"/>
              <w:end w:w="120" w:type="dxa"/>
            </w:tcMar>
          </w:tcPr>
          <w:p>
            <w:pPr>
              <w:spacing w:after="0" w:line="252" w:lineRule="auto"/>
            </w:pPr>
            <w:r>
              <w:rPr>
                <w:sz w:val="17"/>
              </w:rPr>
              <w:t>P1</w:t>
            </w:r>
          </w:p>
        </w:tc>
        <w:tc>
          <w:tcPr>
            <w:tcW w:type="dxa" w:w="4392"/>
            <w:vAlign w:val="center"/>
            <w:tcMar>
              <w:top w:w="90" w:type="dxa"/>
              <w:start w:w="120" w:type="dxa"/>
              <w:bottom w:w="90" w:type="dxa"/>
              <w:end w:w="120" w:type="dxa"/>
            </w:tcMar>
          </w:tcPr>
          <w:p>
            <w:pPr>
              <w:spacing w:after="0" w:line="252" w:lineRule="auto"/>
            </w:pPr>
            <w:r>
              <w:rPr>
                <w:sz w:val="17"/>
              </w:rPr>
              <w:t>Sayım/stok fişi ekranı ve API/controller yok.</w:t>
            </w:r>
          </w:p>
        </w:tc>
        <w:tc>
          <w:tcPr>
            <w:tcW w:type="dxa" w:w="4248"/>
            <w:vAlign w:val="center"/>
            <w:tcMar>
              <w:top w:w="90" w:type="dxa"/>
              <w:start w:w="120" w:type="dxa"/>
              <w:bottom w:w="90" w:type="dxa"/>
              <w:end w:w="120" w:type="dxa"/>
            </w:tcMar>
          </w:tcPr>
          <w:p>
            <w:pPr>
              <w:spacing w:after="0" w:line="252" w:lineRule="auto"/>
            </w:pPr>
            <w:r>
              <w:rPr>
                <w:sz w:val="17"/>
              </w:rPr>
              <w:t>Taslak, onay ve sonuç föyü uçtan uca tamamlanmalı.</w:t>
            </w:r>
          </w:p>
        </w:tc>
      </w:tr>
      <w:tr>
        <w:tc>
          <w:tcPr>
            <w:tcW w:type="dxa" w:w="936"/>
            <w:vAlign w:val="center"/>
            <w:tcMar>
              <w:top w:w="90" w:type="dxa"/>
              <w:start w:w="120" w:type="dxa"/>
              <w:bottom w:w="90" w:type="dxa"/>
              <w:end w:w="120" w:type="dxa"/>
            </w:tcMar>
          </w:tcPr>
          <w:p>
            <w:pPr>
              <w:spacing w:after="0" w:line="252" w:lineRule="auto"/>
            </w:pPr>
            <w:r>
              <w:rPr>
                <w:sz w:val="17"/>
              </w:rPr>
              <w:t>Tamam</w:t>
            </w:r>
          </w:p>
        </w:tc>
        <w:tc>
          <w:tcPr>
            <w:tcW w:type="dxa" w:w="4392"/>
            <w:vAlign w:val="center"/>
            <w:tcMar>
              <w:top w:w="90" w:type="dxa"/>
              <w:start w:w="120" w:type="dxa"/>
              <w:bottom w:w="90" w:type="dxa"/>
              <w:end w:w="120" w:type="dxa"/>
            </w:tcMar>
          </w:tcPr>
          <w:p>
            <w:pPr>
              <w:spacing w:after="0" w:line="252" w:lineRule="auto"/>
            </w:pPr>
            <w:r>
              <w:rPr>
                <w:sz w:val="17"/>
              </w:rPr>
              <w:t>Tahsilat/ödeme posting bağlantısı.</w:t>
            </w:r>
          </w:p>
        </w:tc>
        <w:tc>
          <w:tcPr>
            <w:tcW w:type="dxa" w:w="4248"/>
            <w:vAlign w:val="center"/>
            <w:tcMar>
              <w:top w:w="90" w:type="dxa"/>
              <w:start w:w="120" w:type="dxa"/>
              <w:bottom w:w="90" w:type="dxa"/>
              <w:end w:w="120" w:type="dxa"/>
            </w:tcMar>
          </w:tcPr>
          <w:p>
            <w:pPr>
              <w:spacing w:after="0" w:line="252" w:lineRule="auto"/>
            </w:pPr>
            <w:r>
              <w:rPr>
                <w:sz w:val="17"/>
              </w:rPr>
              <w:t>Cari ve kasa/banka hareketleri tek transaction’da üretiliyor.</w:t>
            </w:r>
          </w:p>
        </w:tc>
      </w:tr>
      <w:tr>
        <w:tc>
          <w:tcPr>
            <w:tcW w:type="dxa" w:w="936"/>
            <w:vAlign w:val="center"/>
            <w:tcMar>
              <w:top w:w="90" w:type="dxa"/>
              <w:start w:w="120" w:type="dxa"/>
              <w:bottom w:w="90" w:type="dxa"/>
              <w:end w:w="120" w:type="dxa"/>
            </w:tcMar>
          </w:tcPr>
          <w:p>
            <w:pPr>
              <w:spacing w:after="0" w:line="252" w:lineRule="auto"/>
            </w:pPr>
            <w:r>
              <w:rPr>
                <w:sz w:val="17"/>
              </w:rPr>
              <w:t>P1</w:t>
            </w:r>
          </w:p>
        </w:tc>
        <w:tc>
          <w:tcPr>
            <w:tcW w:type="dxa" w:w="4392"/>
            <w:vAlign w:val="center"/>
            <w:tcMar>
              <w:top w:w="90" w:type="dxa"/>
              <w:start w:w="120" w:type="dxa"/>
              <w:bottom w:w="90" w:type="dxa"/>
              <w:end w:w="120" w:type="dxa"/>
            </w:tcMar>
          </w:tcPr>
          <w:p>
            <w:pPr>
              <w:spacing w:after="0" w:line="252" w:lineRule="auto"/>
            </w:pPr>
            <w:r>
              <w:rPr>
                <w:sz w:val="17"/>
              </w:rPr>
              <w:t>AuditLog tablosu var fakat otomatik kayıt üretimi yok.</w:t>
            </w:r>
          </w:p>
        </w:tc>
        <w:tc>
          <w:tcPr>
            <w:tcW w:type="dxa" w:w="4248"/>
            <w:vAlign w:val="center"/>
            <w:tcMar>
              <w:top w:w="90" w:type="dxa"/>
              <w:start w:w="120" w:type="dxa"/>
              <w:bottom w:w="90" w:type="dxa"/>
              <w:end w:w="120" w:type="dxa"/>
            </w:tcMar>
          </w:tcPr>
          <w:p>
            <w:pPr>
              <w:spacing w:after="0" w:line="252" w:lineRule="auto"/>
            </w:pPr>
            <w:r>
              <w:rPr>
                <w:sz w:val="17"/>
              </w:rPr>
              <w:t>SaveChanges interceptor veya domain event ile kullanıcı/IP/değişiklik kaydı yazılmalı.</w:t>
            </w:r>
          </w:p>
        </w:tc>
      </w:tr>
      <w:tr>
        <w:tc>
          <w:tcPr>
            <w:tcW w:type="dxa" w:w="936"/>
            <w:vAlign w:val="center"/>
            <w:tcMar>
              <w:top w:w="90" w:type="dxa"/>
              <w:start w:w="120" w:type="dxa"/>
              <w:bottom w:w="90" w:type="dxa"/>
              <w:end w:w="120" w:type="dxa"/>
            </w:tcMar>
          </w:tcPr>
          <w:p>
            <w:pPr>
              <w:spacing w:after="0" w:line="252" w:lineRule="auto"/>
            </w:pPr>
            <w:r>
              <w:rPr>
                <w:sz w:val="17"/>
              </w:rPr>
              <w:t>P2</w:t>
            </w:r>
          </w:p>
        </w:tc>
        <w:tc>
          <w:tcPr>
            <w:tcW w:type="dxa" w:w="4392"/>
            <w:vAlign w:val="center"/>
            <w:tcMar>
              <w:top w:w="90" w:type="dxa"/>
              <w:start w:w="120" w:type="dxa"/>
              <w:bottom w:w="90" w:type="dxa"/>
              <w:end w:w="120" w:type="dxa"/>
            </w:tcMar>
          </w:tcPr>
          <w:p>
            <w:pPr>
              <w:spacing w:after="0" w:line="252" w:lineRule="auto"/>
            </w:pPr>
            <w:r>
              <w:rPr>
                <w:sz w:val="17"/>
              </w:rPr>
              <w:t>Application ve Infrastructure katmanları boş.</w:t>
            </w:r>
          </w:p>
        </w:tc>
        <w:tc>
          <w:tcPr>
            <w:tcW w:type="dxa" w:w="4248"/>
            <w:vAlign w:val="center"/>
            <w:tcMar>
              <w:top w:w="90" w:type="dxa"/>
              <w:start w:w="120" w:type="dxa"/>
              <w:bottom w:w="90" w:type="dxa"/>
              <w:end w:w="120" w:type="dxa"/>
            </w:tcMar>
          </w:tcPr>
          <w:p>
            <w:pPr>
              <w:spacing w:after="0" w:line="252" w:lineRule="auto"/>
            </w:pPr>
            <w:r>
              <w:rPr>
                <w:sz w:val="17"/>
              </w:rPr>
              <w:t>İş servisleri ve EF uygulaması doğru katmanlara ayrılmalı.</w:t>
            </w:r>
          </w:p>
        </w:tc>
      </w:tr>
      <w:tr>
        <w:tc>
          <w:tcPr>
            <w:tcW w:type="dxa" w:w="936"/>
            <w:vAlign w:val="center"/>
            <w:tcMar>
              <w:top w:w="90" w:type="dxa"/>
              <w:start w:w="120" w:type="dxa"/>
              <w:bottom w:w="90" w:type="dxa"/>
              <w:end w:w="120" w:type="dxa"/>
            </w:tcMar>
          </w:tcPr>
          <w:p>
            <w:pPr>
              <w:spacing w:after="0" w:line="252" w:lineRule="auto"/>
            </w:pPr>
            <w:r>
              <w:rPr>
                <w:sz w:val="17"/>
              </w:rPr>
              <w:t>P2</w:t>
            </w:r>
          </w:p>
        </w:tc>
        <w:tc>
          <w:tcPr>
            <w:tcW w:type="dxa" w:w="4392"/>
            <w:vAlign w:val="center"/>
            <w:tcMar>
              <w:top w:w="90" w:type="dxa"/>
              <w:start w:w="120" w:type="dxa"/>
              <w:bottom w:w="90" w:type="dxa"/>
              <w:end w:w="120" w:type="dxa"/>
            </w:tcMar>
          </w:tcPr>
          <w:p>
            <w:pPr>
              <w:spacing w:after="0" w:line="252" w:lineRule="auto"/>
            </w:pPr>
            <w:r>
              <w:rPr>
                <w:sz w:val="17"/>
              </w:rPr>
              <w:t>QuestPDF paketi/servisi henüz yok.</w:t>
            </w:r>
          </w:p>
        </w:tc>
        <w:tc>
          <w:tcPr>
            <w:tcW w:type="dxa" w:w="4248"/>
            <w:vAlign w:val="center"/>
            <w:tcMar>
              <w:top w:w="90" w:type="dxa"/>
              <w:start w:w="120" w:type="dxa"/>
              <w:bottom w:w="90" w:type="dxa"/>
              <w:end w:w="120" w:type="dxa"/>
            </w:tcMar>
          </w:tcPr>
          <w:p>
            <w:pPr>
              <w:spacing w:after="0" w:line="252" w:lineRule="auto"/>
            </w:pPr>
            <w:r>
              <w:rPr>
                <w:sz w:val="17"/>
              </w:rPr>
              <w:t>Teklif PDF modülünde lisans, font ve logo varlıklarıyla eklenmeli.</w:t>
            </w:r>
          </w:p>
        </w:tc>
      </w:tr>
    </w:tbl>
    <w:p>
      <w:pPr>
        <w:spacing w:after="20"/>
      </w:pPr>
    </w:p>
    <w:p>
      <w:pPr>
        <w:pStyle w:val="Heading1"/>
      </w:pPr>
      <w:r>
        <w:t>9. Güvenlik denetimi</w:t>
      </w:r>
    </w:p>
    <w:p>
      <w:pPr>
        <w:pStyle w:val="ListBullet"/>
      </w:pPr>
      <w:r>
        <w:t>Identity parola kuralı güçlü: en az 10 karakter, büyük/küçük harf, rakam ve özel karakter.</w:t>
      </w:r>
    </w:p>
    <w:p>
      <w:pPr>
        <w:pStyle w:val="ListBullet"/>
      </w:pPr>
      <w:r>
        <w:t>5 başarısız girişte 15 dakika kilitleme tanımlı.</w:t>
      </w:r>
    </w:p>
    <w:p>
      <w:pPr>
        <w:pStyle w:val="ListBullet"/>
      </w:pPr>
      <w:r>
        <w:t>E-posta benzersizliği zorunlu.</w:t>
      </w:r>
    </w:p>
    <w:p>
      <w:pPr>
        <w:pStyle w:val="ListBullet"/>
      </w:pPr>
      <w:r>
        <w:t>Administrator ve Staff rolleri seed ediliyor.</w:t>
      </w:r>
    </w:p>
    <w:p>
      <w:pPr>
        <w:pStyle w:val="ListBullet"/>
      </w:pPr>
      <w:r>
        <w:t>Ürün controller’ı [Authorize] ile giriş gerektiriyor.</w:t>
      </w:r>
    </w:p>
    <w:p>
      <w:pPr>
        <w:pStyle w:val="ListBullet"/>
      </w:pPr>
      <w:r>
        <w:t>Form POST işlemlerinde antiforgery doğrulaması var.</w:t>
      </w:r>
    </w:p>
    <w:tbl>
      <w:tblPr>
        <w:tblW w:type="auto" w:w="0"/>
        <w:jc w:val="center"/>
        <w:tblLayout w:type="fixed"/>
        <w:tblLook w:firstColumn="1" w:firstRow="1" w:lastColumn="0" w:lastRow="0" w:noHBand="0" w:noVBand="1" w:val="04A0"/>
      </w:tblPr>
      <w:tblGrid>
        <w:gridCol w:w="9792"/>
      </w:tblGrid>
      <w:tr>
        <w:tc>
          <w:tcPr>
            <w:tcW w:type="dxa" w:w="9576"/>
            <w:shd w:fill="E2F0D9"/>
            <w:tcMar>
              <w:top w:w="140" w:type="dxa"/>
              <w:start w:w="180" w:type="dxa"/>
              <w:bottom w:w="140" w:type="dxa"/>
              <w:end w:w="180" w:type="dxa"/>
            </w:tcMar>
          </w:tcPr>
          <w:p>
            <w:pPr>
              <w:spacing w:after="40"/>
            </w:pPr>
            <w:r>
              <w:rPr>
                <w:b/>
                <w:color w:val="0B2545"/>
              </w:rPr>
              <w:t xml:space="preserve">Denetim sırasında düzeltildi  </w:t>
            </w:r>
            <w:r>
              <w:t>Program.cs içinde app.UseAuthentication() çağrısı UseAuthorization() öncesine eklendi.</w:t>
            </w:r>
          </w:p>
        </w:tc>
      </w:tr>
    </w:tbl>
    <w:p>
      <w:pPr>
        <w:spacing w:after="0"/>
      </w:pPr>
    </w:p>
    <w:p>
      <w:pPr>
        <w:pStyle w:val="ListBullet"/>
      </w:pPr>
      <w:r>
        <w:t>Rol bazlı yetkilendirme henüz ekran ve eylem seviyesinde uygulanmamış; ürün kartında tüm giriş yapan kullanıcılar aynı hakka sahip.</w:t>
      </w:r>
    </w:p>
    <w:p>
      <w:pPr>
        <w:pStyle w:val="ListBullet"/>
      </w:pPr>
      <w:r>
        <w:t>Bootstrap yönetici parolası appsettings içinde tutulmuyor; ortam değişkeni/Secret Store kullanılması için uygun.</w:t>
      </w:r>
    </w:p>
    <w:p>
      <w:pPr>
        <w:pStyle w:val="ListBullet"/>
      </w:pPr>
      <w:r>
        <w:t>Connection string Windows Authentication kullanıyor; IIS App Pool kimliğine SQL yetkisi verilmesi gerekecek.</w:t>
      </w:r>
    </w:p>
    <w:p>
      <w:r>
        <w:br w:type="page"/>
      </w:r>
    </w:p>
    <w:p>
      <w:pPr>
        <w:pStyle w:val="Heading1"/>
      </w:pPr>
      <w:r>
        <w:t>10. Derleme ve migration doğrulaması</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448"/>
            <w:shd w:fill="E8EEF5"/>
            <w:vAlign w:val="center"/>
            <w:tcMar>
              <w:top w:w="90" w:type="dxa"/>
              <w:start w:w="120" w:type="dxa"/>
              <w:bottom w:w="90" w:type="dxa"/>
              <w:end w:w="120" w:type="dxa"/>
            </w:tcMar>
          </w:tcPr>
          <w:p>
            <w:pPr>
              <w:spacing w:after="0"/>
            </w:pPr>
            <w:r>
              <w:rPr>
                <w:b/>
                <w:color w:val="0B2545"/>
                <w:sz w:val="18"/>
              </w:rPr>
              <w:t>Kontrol</w:t>
            </w:r>
          </w:p>
        </w:tc>
        <w:tc>
          <w:tcPr>
            <w:tcW w:type="dxa" w:w="1944"/>
            <w:shd w:fill="E8EEF5"/>
            <w:vAlign w:val="center"/>
            <w:tcMar>
              <w:top w:w="90" w:type="dxa"/>
              <w:start w:w="120" w:type="dxa"/>
              <w:bottom w:w="90" w:type="dxa"/>
              <w:end w:w="120" w:type="dxa"/>
            </w:tcMar>
          </w:tcPr>
          <w:p>
            <w:pPr>
              <w:spacing w:after="0"/>
            </w:pPr>
            <w:r>
              <w:rPr>
                <w:b/>
                <w:color w:val="0B2545"/>
                <w:sz w:val="18"/>
              </w:rPr>
              <w:t>Sonuç</w:t>
            </w:r>
          </w:p>
        </w:tc>
        <w:tc>
          <w:tcPr>
            <w:tcW w:type="dxa" w:w="5184"/>
            <w:shd w:fill="E8EEF5"/>
            <w:vAlign w:val="center"/>
            <w:tcMar>
              <w:top w:w="90" w:type="dxa"/>
              <w:start w:w="120" w:type="dxa"/>
              <w:bottom w:w="90" w:type="dxa"/>
              <w:end w:w="120" w:type="dxa"/>
            </w:tcMar>
          </w:tcPr>
          <w:p>
            <w:pPr>
              <w:spacing w:after="0"/>
            </w:pPr>
            <w:r>
              <w:rPr>
                <w:b/>
                <w:color w:val="0B2545"/>
                <w:sz w:val="18"/>
              </w:rPr>
              <w:t>Açıklama</w:t>
            </w:r>
          </w:p>
        </w:tc>
      </w:tr>
      <w:tr>
        <w:tc>
          <w:tcPr>
            <w:tcW w:type="dxa" w:w="2448"/>
            <w:vAlign w:val="center"/>
            <w:tcMar>
              <w:top w:w="90" w:type="dxa"/>
              <w:start w:w="120" w:type="dxa"/>
              <w:bottom w:w="90" w:type="dxa"/>
              <w:end w:w="120" w:type="dxa"/>
            </w:tcMar>
          </w:tcPr>
          <w:p>
            <w:pPr>
              <w:spacing w:after="0" w:line="252" w:lineRule="auto"/>
            </w:pPr>
            <w:r>
              <w:rPr>
                <w:sz w:val="17"/>
              </w:rPr>
              <w:t>Solution build</w:t>
            </w:r>
          </w:p>
        </w:tc>
        <w:tc>
          <w:tcPr>
            <w:tcW w:type="dxa" w:w="1944"/>
            <w:vAlign w:val="center"/>
            <w:tcMar>
              <w:top w:w="90" w:type="dxa"/>
              <w:start w:w="120" w:type="dxa"/>
              <w:bottom w:w="90" w:type="dxa"/>
              <w:end w:w="120" w:type="dxa"/>
            </w:tcMar>
          </w:tcPr>
          <w:p>
            <w:pPr>
              <w:spacing w:after="0" w:line="252" w:lineRule="auto"/>
            </w:pPr>
            <w:r>
              <w:rPr>
                <w:sz w:val="17"/>
              </w:rPr>
              <w:t>Başarılı</w:t>
            </w:r>
          </w:p>
        </w:tc>
        <w:tc>
          <w:tcPr>
            <w:tcW w:type="dxa" w:w="5184"/>
            <w:vAlign w:val="center"/>
            <w:tcMar>
              <w:top w:w="90" w:type="dxa"/>
              <w:start w:w="120" w:type="dxa"/>
              <w:bottom w:w="90" w:type="dxa"/>
              <w:end w:w="120" w:type="dxa"/>
            </w:tcMar>
          </w:tcPr>
          <w:p>
            <w:pPr>
              <w:spacing w:after="0" w:line="252" w:lineRule="auto"/>
            </w:pPr>
            <w:r>
              <w:rPr>
                <w:sz w:val="17"/>
              </w:rPr>
              <w:t>4 proje derlendi; 0 hata, 0 uyarı.</w:t>
            </w:r>
          </w:p>
        </w:tc>
      </w:tr>
      <w:tr>
        <w:tc>
          <w:tcPr>
            <w:tcW w:type="dxa" w:w="2448"/>
            <w:vAlign w:val="center"/>
            <w:tcMar>
              <w:top w:w="90" w:type="dxa"/>
              <w:start w:w="120" w:type="dxa"/>
              <w:bottom w:w="90" w:type="dxa"/>
              <w:end w:w="120" w:type="dxa"/>
            </w:tcMar>
          </w:tcPr>
          <w:p>
            <w:pPr>
              <w:spacing w:after="0" w:line="252" w:lineRule="auto"/>
            </w:pPr>
            <w:r>
              <w:rPr>
                <w:sz w:val="17"/>
              </w:rPr>
              <w:t>EF pending changes</w:t>
            </w:r>
          </w:p>
        </w:tc>
        <w:tc>
          <w:tcPr>
            <w:tcW w:type="dxa" w:w="1944"/>
            <w:vAlign w:val="center"/>
            <w:tcMar>
              <w:top w:w="90" w:type="dxa"/>
              <w:start w:w="120" w:type="dxa"/>
              <w:bottom w:w="90" w:type="dxa"/>
              <w:end w:w="120" w:type="dxa"/>
            </w:tcMar>
          </w:tcPr>
          <w:p>
            <w:pPr>
              <w:spacing w:after="0" w:line="252" w:lineRule="auto"/>
            </w:pPr>
            <w:r>
              <w:rPr>
                <w:sz w:val="17"/>
              </w:rPr>
              <w:t>Başarılı</w:t>
            </w:r>
          </w:p>
        </w:tc>
        <w:tc>
          <w:tcPr>
            <w:tcW w:type="dxa" w:w="5184"/>
            <w:vAlign w:val="center"/>
            <w:tcMar>
              <w:top w:w="90" w:type="dxa"/>
              <w:start w:w="120" w:type="dxa"/>
              <w:bottom w:w="90" w:type="dxa"/>
              <w:end w:w="120" w:type="dxa"/>
            </w:tcMar>
          </w:tcPr>
          <w:p>
            <w:pPr>
              <w:spacing w:after="0" w:line="252" w:lineRule="auto"/>
            </w:pPr>
            <w:r>
              <w:rPr>
                <w:sz w:val="17"/>
              </w:rPr>
              <w:t>Son migration sonrası model değişikliği yok.</w:t>
            </w:r>
          </w:p>
        </w:tc>
      </w:tr>
      <w:tr>
        <w:tc>
          <w:tcPr>
            <w:tcW w:type="dxa" w:w="2448"/>
            <w:vAlign w:val="center"/>
            <w:tcMar>
              <w:top w:w="90" w:type="dxa"/>
              <w:start w:w="120" w:type="dxa"/>
              <w:bottom w:w="90" w:type="dxa"/>
              <w:end w:w="120" w:type="dxa"/>
            </w:tcMar>
          </w:tcPr>
          <w:p>
            <w:pPr>
              <w:spacing w:after="0" w:line="252" w:lineRule="auto"/>
            </w:pPr>
            <w:r>
              <w:rPr>
                <w:sz w:val="17"/>
              </w:rPr>
              <w:t>Migration script</w:t>
            </w:r>
          </w:p>
        </w:tc>
        <w:tc>
          <w:tcPr>
            <w:tcW w:type="dxa" w:w="1944"/>
            <w:vAlign w:val="center"/>
            <w:tcMar>
              <w:top w:w="90" w:type="dxa"/>
              <w:start w:w="120" w:type="dxa"/>
              <w:bottom w:w="90" w:type="dxa"/>
              <w:end w:w="120" w:type="dxa"/>
            </w:tcMar>
          </w:tcPr>
          <w:p>
            <w:pPr>
              <w:spacing w:after="0" w:line="252" w:lineRule="auto"/>
            </w:pPr>
            <w:r>
              <w:rPr>
                <w:sz w:val="17"/>
              </w:rPr>
              <w:t>Başarılı</w:t>
            </w:r>
          </w:p>
        </w:tc>
        <w:tc>
          <w:tcPr>
            <w:tcW w:type="dxa" w:w="5184"/>
            <w:vAlign w:val="center"/>
            <w:tcMar>
              <w:top w:w="90" w:type="dxa"/>
              <w:start w:w="120" w:type="dxa"/>
              <w:bottom w:w="90" w:type="dxa"/>
              <w:end w:w="120" w:type="dxa"/>
            </w:tcMar>
          </w:tcPr>
          <w:p>
            <w:pPr>
              <w:spacing w:after="0" w:line="252" w:lineRule="auto"/>
            </w:pPr>
            <w:r>
              <w:rPr>
                <w:sz w:val="17"/>
              </w:rPr>
              <w:t>Son altyapı migration’ı SQL scriptine üretilebildi.</w:t>
            </w:r>
          </w:p>
        </w:tc>
      </w:tr>
      <w:tr>
        <w:tc>
          <w:tcPr>
            <w:tcW w:type="dxa" w:w="2448"/>
            <w:vAlign w:val="center"/>
            <w:tcMar>
              <w:top w:w="90" w:type="dxa"/>
              <w:start w:w="120" w:type="dxa"/>
              <w:bottom w:w="90" w:type="dxa"/>
              <w:end w:w="120" w:type="dxa"/>
            </w:tcMar>
          </w:tcPr>
          <w:p>
            <w:pPr>
              <w:spacing w:after="0" w:line="252" w:lineRule="auto"/>
            </w:pPr>
            <w:r>
              <w:rPr>
                <w:sz w:val="17"/>
              </w:rPr>
              <w:t>Test keşfi</w:t>
            </w:r>
          </w:p>
        </w:tc>
        <w:tc>
          <w:tcPr>
            <w:tcW w:type="dxa" w:w="1944"/>
            <w:vAlign w:val="center"/>
            <w:tcMar>
              <w:top w:w="90" w:type="dxa"/>
              <w:start w:w="120" w:type="dxa"/>
              <w:bottom w:w="90" w:type="dxa"/>
              <w:end w:w="120" w:type="dxa"/>
            </w:tcMar>
          </w:tcPr>
          <w:p>
            <w:pPr>
              <w:spacing w:after="0" w:line="252" w:lineRule="auto"/>
            </w:pPr>
            <w:r>
              <w:rPr>
                <w:sz w:val="17"/>
              </w:rPr>
              <w:t>Başarısız/eksik</w:t>
            </w:r>
          </w:p>
        </w:tc>
        <w:tc>
          <w:tcPr>
            <w:tcW w:type="dxa" w:w="5184"/>
            <w:vAlign w:val="center"/>
            <w:tcMar>
              <w:top w:w="90" w:type="dxa"/>
              <w:start w:w="120" w:type="dxa"/>
              <w:bottom w:w="90" w:type="dxa"/>
              <w:end w:w="120" w:type="dxa"/>
            </w:tcMar>
          </w:tcPr>
          <w:p>
            <w:pPr>
              <w:spacing w:after="0" w:line="252" w:lineRule="auto"/>
            </w:pPr>
            <w:r>
              <w:rPr>
                <w:sz w:val="17"/>
              </w:rPr>
              <w:t>Çözümde test projesi bulunmadı.</w:t>
            </w:r>
          </w:p>
        </w:tc>
      </w:tr>
      <w:tr>
        <w:tc>
          <w:tcPr>
            <w:tcW w:type="dxa" w:w="2448"/>
            <w:vAlign w:val="center"/>
            <w:tcMar>
              <w:top w:w="90" w:type="dxa"/>
              <w:start w:w="120" w:type="dxa"/>
              <w:bottom w:w="90" w:type="dxa"/>
              <w:end w:w="120" w:type="dxa"/>
            </w:tcMar>
          </w:tcPr>
          <w:p>
            <w:pPr>
              <w:spacing w:after="0" w:line="252" w:lineRule="auto"/>
            </w:pPr>
            <w:r>
              <w:rPr>
                <w:sz w:val="17"/>
              </w:rPr>
              <w:t>Sunucu DB uygulaması</w:t>
            </w:r>
          </w:p>
        </w:tc>
        <w:tc>
          <w:tcPr>
            <w:tcW w:type="dxa" w:w="1944"/>
            <w:vAlign w:val="center"/>
            <w:tcMar>
              <w:top w:w="90" w:type="dxa"/>
              <w:start w:w="120" w:type="dxa"/>
              <w:bottom w:w="90" w:type="dxa"/>
              <w:end w:w="120" w:type="dxa"/>
            </w:tcMar>
          </w:tcPr>
          <w:p>
            <w:pPr>
              <w:spacing w:after="0" w:line="252" w:lineRule="auto"/>
            </w:pPr>
            <w:r>
              <w:rPr>
                <w:sz w:val="17"/>
              </w:rPr>
              <w:t>Yapılmadı</w:t>
            </w:r>
          </w:p>
        </w:tc>
        <w:tc>
          <w:tcPr>
            <w:tcW w:type="dxa" w:w="5184"/>
            <w:vAlign w:val="center"/>
            <w:tcMar>
              <w:top w:w="90" w:type="dxa"/>
              <w:start w:w="120" w:type="dxa"/>
              <w:bottom w:w="90" w:type="dxa"/>
              <w:end w:w="120" w:type="dxa"/>
            </w:tcMar>
          </w:tcPr>
          <w:p>
            <w:pPr>
              <w:spacing w:after="0" w:line="252" w:lineRule="auto"/>
            </w:pPr>
            <w:r>
              <w:rPr>
                <w:sz w:val="17"/>
              </w:rPr>
              <w:t>Migration SQL Server 2022 Express’e henüz uygulanmadı.</w:t>
            </w:r>
          </w:p>
        </w:tc>
      </w:tr>
      <w:tr>
        <w:tc>
          <w:tcPr>
            <w:tcW w:type="dxa" w:w="2448"/>
            <w:vAlign w:val="center"/>
            <w:tcMar>
              <w:top w:w="90" w:type="dxa"/>
              <w:start w:w="120" w:type="dxa"/>
              <w:bottom w:w="90" w:type="dxa"/>
              <w:end w:w="120" w:type="dxa"/>
            </w:tcMar>
          </w:tcPr>
          <w:p>
            <w:pPr>
              <w:spacing w:after="0" w:line="252" w:lineRule="auto"/>
            </w:pPr>
            <w:r>
              <w:rPr>
                <w:sz w:val="17"/>
              </w:rPr>
              <w:t>Canlı IIS testi</w:t>
            </w:r>
          </w:p>
        </w:tc>
        <w:tc>
          <w:tcPr>
            <w:tcW w:type="dxa" w:w="1944"/>
            <w:vAlign w:val="center"/>
            <w:tcMar>
              <w:top w:w="90" w:type="dxa"/>
              <w:start w:w="120" w:type="dxa"/>
              <w:bottom w:w="90" w:type="dxa"/>
              <w:end w:w="120" w:type="dxa"/>
            </w:tcMar>
          </w:tcPr>
          <w:p>
            <w:pPr>
              <w:spacing w:after="0" w:line="252" w:lineRule="auto"/>
            </w:pPr>
            <w:r>
              <w:rPr>
                <w:sz w:val="17"/>
              </w:rPr>
              <w:t>Yapılmadı</w:t>
            </w:r>
          </w:p>
        </w:tc>
        <w:tc>
          <w:tcPr>
            <w:tcW w:type="dxa" w:w="5184"/>
            <w:vAlign w:val="center"/>
            <w:tcMar>
              <w:top w:w="90" w:type="dxa"/>
              <w:start w:w="120" w:type="dxa"/>
              <w:bottom w:w="90" w:type="dxa"/>
              <w:end w:w="120" w:type="dxa"/>
            </w:tcMar>
          </w:tcPr>
          <w:p>
            <w:pPr>
              <w:spacing w:after="0" w:line="252" w:lineRule="auto"/>
            </w:pPr>
            <w:r>
              <w:rPr>
                <w:sz w:val="17"/>
              </w:rPr>
              <w:t>Publish, App Pool, domain ve SSL daha sonraki aşama.</w:t>
            </w:r>
          </w:p>
        </w:tc>
      </w:tr>
    </w:tbl>
    <w:p>
      <w:pPr>
        <w:spacing w:after="20"/>
      </w:pPr>
    </w:p>
    <w:p>
      <w:pPr>
        <w:pStyle w:val="Heading1"/>
      </w:pPr>
      <w:r>
        <w:t>11. Modül olgunluk matrisi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96"/>
            <w:shd w:fill="E8EEF5"/>
            <w:vAlign w:val="center"/>
            <w:tcMar>
              <w:top w:w="90" w:type="dxa"/>
              <w:start w:w="120" w:type="dxa"/>
              <w:bottom w:w="90" w:type="dxa"/>
              <w:end w:w="120" w:type="dxa"/>
            </w:tcMar>
          </w:tcPr>
          <w:p>
            <w:pPr>
              <w:spacing w:after="0"/>
            </w:pPr>
            <w:r>
              <w:rPr>
                <w:b/>
                <w:color w:val="0B2545"/>
                <w:sz w:val="18"/>
              </w:rPr>
              <w:t>Durum</w:t>
            </w:r>
          </w:p>
        </w:tc>
        <w:tc>
          <w:tcPr>
            <w:tcW w:type="dxa" w:w="2592"/>
            <w:shd w:fill="E8EEF5"/>
            <w:vAlign w:val="center"/>
            <w:tcMar>
              <w:top w:w="90" w:type="dxa"/>
              <w:start w:w="120" w:type="dxa"/>
              <w:bottom w:w="90" w:type="dxa"/>
              <w:end w:w="120" w:type="dxa"/>
            </w:tcMar>
          </w:tcPr>
          <w:p>
            <w:pPr>
              <w:spacing w:after="0"/>
            </w:pPr>
            <w:r>
              <w:rPr>
                <w:b/>
                <w:color w:val="0B2545"/>
                <w:sz w:val="18"/>
              </w:rPr>
              <w:t>Konu</w:t>
            </w:r>
          </w:p>
        </w:tc>
        <w:tc>
          <w:tcPr>
            <w:tcW w:type="dxa" w:w="5688"/>
            <w:shd w:fill="E8EEF5"/>
            <w:vAlign w:val="center"/>
            <w:tcMar>
              <w:top w:w="90" w:type="dxa"/>
              <w:start w:w="120" w:type="dxa"/>
              <w:bottom w:w="90" w:type="dxa"/>
              <w:end w:w="120" w:type="dxa"/>
            </w:tcMar>
          </w:tcPr>
          <w:p>
            <w:pPr>
              <w:spacing w:after="0"/>
            </w:pPr>
            <w:r>
              <w:rPr>
                <w:b/>
                <w:color w:val="0B2545"/>
                <w:sz w:val="18"/>
              </w:rPr>
              <w:t>Denetim sonucu</w:t>
            </w:r>
          </w:p>
        </w:tc>
      </w:tr>
      <w:tr>
        <w:tc>
          <w:tcPr>
            <w:tcW w:type="dxa" w:w="1296"/>
            <w:vAlign w:val="center"/>
            <w:tcMar>
              <w:top w:w="90" w:type="dxa"/>
              <w:start w:w="120" w:type="dxa"/>
              <w:bottom w:w="90" w:type="dxa"/>
              <w:end w:w="120" w:type="dxa"/>
            </w:tcMar>
            <w:shd w:fill="E2F0D9"/>
          </w:tcPr>
          <w:p>
            <w:pPr>
              <w:spacing w:after="0" w:line="252" w:lineRule="auto"/>
            </w:pPr>
            <w:r>
              <w:rPr>
                <w:b/>
                <w:sz w:val="17"/>
              </w:rPr>
              <w:t>Hazır</w:t>
            </w:r>
          </w:p>
        </w:tc>
        <w:tc>
          <w:tcPr>
            <w:tcW w:type="dxa" w:w="2592"/>
            <w:vAlign w:val="center"/>
            <w:tcMar>
              <w:top w:w="90" w:type="dxa"/>
              <w:start w:w="120" w:type="dxa"/>
              <w:bottom w:w="90" w:type="dxa"/>
              <w:end w:w="120" w:type="dxa"/>
            </w:tcMar>
          </w:tcPr>
          <w:p>
            <w:pPr>
              <w:spacing w:after="0" w:line="252" w:lineRule="auto"/>
            </w:pPr>
            <w:r>
              <w:rPr>
                <w:sz w:val="17"/>
              </w:rPr>
              <w:t>Ürün listeleme/kart</w:t>
            </w:r>
          </w:p>
        </w:tc>
        <w:tc>
          <w:tcPr>
            <w:tcW w:type="dxa" w:w="5688"/>
            <w:vAlign w:val="center"/>
            <w:tcMar>
              <w:top w:w="90" w:type="dxa"/>
              <w:start w:w="120" w:type="dxa"/>
              <w:bottom w:w="90" w:type="dxa"/>
              <w:end w:w="120" w:type="dxa"/>
            </w:tcMar>
          </w:tcPr>
          <w:p>
            <w:pPr>
              <w:spacing w:after="0" w:line="252" w:lineRule="auto"/>
            </w:pPr>
            <w:r>
              <w:rPr>
                <w:sz w:val="17"/>
              </w:rPr>
              <w:t>Liste, arama, oluşturma ve düzenleme ekranı mevcut; barkod edit hatası düzeltilmeli.</w:t>
            </w:r>
          </w:p>
        </w:tc>
      </w:tr>
      <w:tr>
        <w:tc>
          <w:tcPr>
            <w:tcW w:type="dxa" w:w="1296"/>
            <w:vAlign w:val="center"/>
            <w:tcMar>
              <w:top w:w="90" w:type="dxa"/>
              <w:start w:w="120" w:type="dxa"/>
              <w:bottom w:w="90" w:type="dxa"/>
              <w:end w:w="120" w:type="dxa"/>
            </w:tcMar>
            <w:shd w:fill="E2F0D9"/>
          </w:tcPr>
          <w:p>
            <w:pPr>
              <w:spacing w:after="0" w:line="252" w:lineRule="auto"/>
            </w:pPr>
            <w:r>
              <w:rPr>
                <w:b/>
                <w:sz w:val="17"/>
              </w:rPr>
              <w:t>Hazır</w:t>
            </w:r>
          </w:p>
        </w:tc>
        <w:tc>
          <w:tcPr>
            <w:tcW w:type="dxa" w:w="2592"/>
            <w:vAlign w:val="center"/>
            <w:tcMar>
              <w:top w:w="90" w:type="dxa"/>
              <w:start w:w="120" w:type="dxa"/>
              <w:bottom w:w="90" w:type="dxa"/>
              <w:end w:w="120" w:type="dxa"/>
            </w:tcMar>
          </w:tcPr>
          <w:p>
            <w:pPr>
              <w:spacing w:after="0" w:line="252" w:lineRule="auto"/>
            </w:pPr>
            <w:r>
              <w:rPr>
                <w:sz w:val="17"/>
              </w:rPr>
              <w:t>Katalog seed</w:t>
            </w:r>
          </w:p>
        </w:tc>
        <w:tc>
          <w:tcPr>
            <w:tcW w:type="dxa" w:w="5688"/>
            <w:vAlign w:val="center"/>
            <w:tcMar>
              <w:top w:w="90" w:type="dxa"/>
              <w:start w:w="120" w:type="dxa"/>
              <w:bottom w:w="90" w:type="dxa"/>
              <w:end w:w="120" w:type="dxa"/>
            </w:tcMar>
          </w:tcPr>
          <w:p>
            <w:pPr>
              <w:spacing w:after="0" w:line="252" w:lineRule="auto"/>
            </w:pPr>
            <w:r>
              <w:rPr>
                <w:sz w:val="17"/>
              </w:rPr>
              <w:t>8 kategori, 47 ürün ve 4 KDV oranı migration başlangıç verisinde.</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Barkod/varyant/görsel</w:t>
            </w:r>
          </w:p>
        </w:tc>
        <w:tc>
          <w:tcPr>
            <w:tcW w:type="dxa" w:w="5688"/>
            <w:vAlign w:val="center"/>
            <w:tcMar>
              <w:top w:w="90" w:type="dxa"/>
              <w:start w:w="120" w:type="dxa"/>
              <w:bottom w:w="90" w:type="dxa"/>
              <w:end w:w="120" w:type="dxa"/>
            </w:tcMar>
          </w:tcPr>
          <w:p>
            <w:pPr>
              <w:spacing w:after="0" w:line="252" w:lineRule="auto"/>
            </w:pPr>
            <w:r>
              <w:rPr>
                <w:sz w:val="17"/>
              </w:rPr>
              <w:t>Şema geniş; ana stok kartı ekranı yalnızca birincil barkodu kullanıyor.</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Depo ve sevk</w:t>
            </w:r>
          </w:p>
        </w:tc>
        <w:tc>
          <w:tcPr>
            <w:tcW w:type="dxa" w:w="5688"/>
            <w:vAlign w:val="center"/>
            <w:tcMar>
              <w:top w:w="90" w:type="dxa"/>
              <w:start w:w="120" w:type="dxa"/>
              <w:bottom w:w="90" w:type="dxa"/>
              <w:end w:w="120" w:type="dxa"/>
            </w:tcMar>
          </w:tcPr>
          <w:p>
            <w:pPr>
              <w:spacing w:after="0" w:line="252" w:lineRule="auto"/>
            </w:pPr>
            <w:r>
              <w:rPr>
                <w:sz w:val="17"/>
              </w:rPr>
              <w:t>Model ve onay servisi var; ekran/controller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Sayım</w:t>
            </w:r>
          </w:p>
        </w:tc>
        <w:tc>
          <w:tcPr>
            <w:tcW w:type="dxa" w:w="5688"/>
            <w:vAlign w:val="center"/>
            <w:tcMar>
              <w:top w:w="90" w:type="dxa"/>
              <w:start w:w="120" w:type="dxa"/>
              <w:bottom w:w="90" w:type="dxa"/>
              <w:end w:w="120" w:type="dxa"/>
            </w:tcMar>
          </w:tcPr>
          <w:p>
            <w:pPr>
              <w:spacing w:after="0" w:line="252" w:lineRule="auto"/>
            </w:pPr>
            <w:r>
              <w:rPr>
                <w:sz w:val="17"/>
              </w:rPr>
              <w:t>Model ve fark posting servisi var; sayım giriş/sonuç ekranı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Alış/satış faturası</w:t>
            </w:r>
          </w:p>
        </w:tc>
        <w:tc>
          <w:tcPr>
            <w:tcW w:type="dxa" w:w="5688"/>
            <w:vAlign w:val="center"/>
            <w:tcMar>
              <w:top w:w="90" w:type="dxa"/>
              <w:start w:w="120" w:type="dxa"/>
              <w:bottom w:w="90" w:type="dxa"/>
              <w:end w:w="120" w:type="dxa"/>
            </w:tcMar>
          </w:tcPr>
          <w:p>
            <w:pPr>
              <w:spacing w:after="0" w:line="252" w:lineRule="auto"/>
            </w:pPr>
            <w:r>
              <w:rPr>
                <w:sz w:val="17"/>
              </w:rPr>
              <w:t>Model ve onay posting servisi var; CRUD ekranı ve iptal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Cari</w:t>
            </w:r>
          </w:p>
        </w:tc>
        <w:tc>
          <w:tcPr>
            <w:tcW w:type="dxa" w:w="5688"/>
            <w:vAlign w:val="center"/>
            <w:tcMar>
              <w:top w:w="90" w:type="dxa"/>
              <w:start w:w="120" w:type="dxa"/>
              <w:bottom w:w="90" w:type="dxa"/>
              <w:end w:w="120" w:type="dxa"/>
            </w:tcMar>
          </w:tcPr>
          <w:p>
            <w:pPr>
              <w:spacing w:after="0" w:line="252" w:lineRule="auto"/>
            </w:pPr>
            <w:r>
              <w:rPr>
                <w:sz w:val="17"/>
              </w:rPr>
              <w:t>Model ve fatura hareketi var; cari kart/föy ekranı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Tahsilat/tediye</w:t>
            </w:r>
          </w:p>
        </w:tc>
        <w:tc>
          <w:tcPr>
            <w:tcW w:type="dxa" w:w="5688"/>
            <w:vAlign w:val="center"/>
            <w:tcMar>
              <w:top w:w="90" w:type="dxa"/>
              <w:start w:w="120" w:type="dxa"/>
              <w:bottom w:w="90" w:type="dxa"/>
              <w:end w:w="120" w:type="dxa"/>
            </w:tcMar>
          </w:tcPr>
          <w:p>
            <w:pPr>
              <w:spacing w:after="0" w:line="252" w:lineRule="auto"/>
            </w:pPr>
            <w:r>
              <w:rPr>
                <w:sz w:val="17"/>
              </w:rPr>
              <w:t>Posting servisi var; CRUD ekranı ve iptal/ters kayıt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Teklif</w:t>
            </w:r>
          </w:p>
        </w:tc>
        <w:tc>
          <w:tcPr>
            <w:tcW w:type="dxa" w:w="5688"/>
            <w:vAlign w:val="center"/>
            <w:tcMar>
              <w:top w:w="90" w:type="dxa"/>
              <w:start w:w="120" w:type="dxa"/>
              <w:bottom w:w="90" w:type="dxa"/>
              <w:end w:w="120" w:type="dxa"/>
            </w:tcMar>
          </w:tcPr>
          <w:p>
            <w:pPr>
              <w:spacing w:after="0" w:line="252" w:lineRule="auto"/>
            </w:pPr>
            <w:r>
              <w:rPr>
                <w:sz w:val="17"/>
              </w:rPr>
              <w:t>Model var; hesaplama ekranı ve durum akışı yok.</w:t>
            </w:r>
          </w:p>
        </w:tc>
      </w:tr>
      <w:tr>
        <w:tc>
          <w:tcPr>
            <w:tcW w:type="dxa" w:w="1296"/>
            <w:vAlign w:val="center"/>
            <w:tcMar>
              <w:top w:w="90" w:type="dxa"/>
              <w:start w:w="120" w:type="dxa"/>
              <w:bottom w:w="90" w:type="dxa"/>
              <w:end w:w="120" w:type="dxa"/>
            </w:tcMar>
            <w:shd w:fill="FCE4D6"/>
          </w:tcPr>
          <w:p>
            <w:pPr>
              <w:spacing w:after="0" w:line="252" w:lineRule="auto"/>
            </w:pPr>
            <w:r>
              <w:rPr>
                <w:b/>
                <w:sz w:val="17"/>
              </w:rPr>
              <w:t>Eksik</w:t>
            </w:r>
          </w:p>
        </w:tc>
        <w:tc>
          <w:tcPr>
            <w:tcW w:type="dxa" w:w="2592"/>
            <w:vAlign w:val="center"/>
            <w:tcMar>
              <w:top w:w="90" w:type="dxa"/>
              <w:start w:w="120" w:type="dxa"/>
              <w:bottom w:w="90" w:type="dxa"/>
              <w:end w:w="120" w:type="dxa"/>
            </w:tcMar>
          </w:tcPr>
          <w:p>
            <w:pPr>
              <w:spacing w:after="0" w:line="252" w:lineRule="auto"/>
            </w:pPr>
            <w:r>
              <w:rPr>
                <w:sz w:val="17"/>
              </w:rPr>
              <w:t>PDF</w:t>
            </w:r>
          </w:p>
        </w:tc>
        <w:tc>
          <w:tcPr>
            <w:tcW w:type="dxa" w:w="5688"/>
            <w:vAlign w:val="center"/>
            <w:tcMar>
              <w:top w:w="90" w:type="dxa"/>
              <w:start w:w="120" w:type="dxa"/>
              <w:bottom w:w="90" w:type="dxa"/>
              <w:end w:w="120" w:type="dxa"/>
            </w:tcMar>
          </w:tcPr>
          <w:p>
            <w:pPr>
              <w:spacing w:after="0" w:line="252" w:lineRule="auto"/>
            </w:pPr>
            <w:r>
              <w:rPr>
                <w:sz w:val="17"/>
              </w:rPr>
              <w:t>QuestPDF paketi, ŞahinSoft şablonu ve çıktı servisi yok.</w:t>
            </w:r>
          </w:p>
        </w:tc>
      </w:tr>
      <w:tr>
        <w:tc>
          <w:tcPr>
            <w:tcW w:type="dxa" w:w="1296"/>
            <w:vAlign w:val="center"/>
            <w:tcMar>
              <w:top w:w="90" w:type="dxa"/>
              <w:start w:w="120" w:type="dxa"/>
              <w:bottom w:w="90" w:type="dxa"/>
              <w:end w:w="120" w:type="dxa"/>
            </w:tcMar>
            <w:shd w:fill="FFF2CC"/>
          </w:tcPr>
          <w:p>
            <w:pPr>
              <w:spacing w:after="0" w:line="252" w:lineRule="auto"/>
            </w:pPr>
            <w:r>
              <w:rPr>
                <w:b/>
                <w:sz w:val="17"/>
              </w:rPr>
              <w:t>Kısmi</w:t>
            </w:r>
          </w:p>
        </w:tc>
        <w:tc>
          <w:tcPr>
            <w:tcW w:type="dxa" w:w="2592"/>
            <w:vAlign w:val="center"/>
            <w:tcMar>
              <w:top w:w="90" w:type="dxa"/>
              <w:start w:w="120" w:type="dxa"/>
              <w:bottom w:w="90" w:type="dxa"/>
              <w:end w:w="120" w:type="dxa"/>
            </w:tcMar>
          </w:tcPr>
          <w:p>
            <w:pPr>
              <w:spacing w:after="0" w:line="252" w:lineRule="auto"/>
            </w:pPr>
            <w:r>
              <w:rPr>
                <w:sz w:val="17"/>
              </w:rPr>
              <w:t>Sipariş/irsaliye/masraf/çek-senet</w:t>
            </w:r>
          </w:p>
        </w:tc>
        <w:tc>
          <w:tcPr>
            <w:tcW w:type="dxa" w:w="5688"/>
            <w:vAlign w:val="center"/>
            <w:tcMar>
              <w:top w:w="90" w:type="dxa"/>
              <w:start w:w="120" w:type="dxa"/>
              <w:bottom w:w="90" w:type="dxa"/>
              <w:end w:w="120" w:type="dxa"/>
            </w:tcMar>
          </w:tcPr>
          <w:p>
            <w:pPr>
              <w:spacing w:after="0" w:line="252" w:lineRule="auto"/>
            </w:pPr>
            <w:r>
              <w:rPr>
                <w:sz w:val="17"/>
              </w:rPr>
              <w:t>İlişkisel şema var; iş servisleri ve ekranlar yok.</w:t>
            </w:r>
          </w:p>
        </w:tc>
      </w:tr>
      <w:tr>
        <w:tc>
          <w:tcPr>
            <w:tcW w:type="dxa" w:w="1296"/>
            <w:vAlign w:val="center"/>
            <w:tcMar>
              <w:top w:w="90" w:type="dxa"/>
              <w:start w:w="120" w:type="dxa"/>
              <w:bottom w:w="90" w:type="dxa"/>
              <w:end w:w="120" w:type="dxa"/>
            </w:tcMar>
            <w:shd w:fill="FCE4D6"/>
          </w:tcPr>
          <w:p>
            <w:pPr>
              <w:spacing w:after="0" w:line="252" w:lineRule="auto"/>
            </w:pPr>
            <w:r>
              <w:rPr>
                <w:b/>
                <w:sz w:val="17"/>
              </w:rPr>
              <w:t>Eksik</w:t>
            </w:r>
          </w:p>
        </w:tc>
        <w:tc>
          <w:tcPr>
            <w:tcW w:type="dxa" w:w="2592"/>
            <w:vAlign w:val="center"/>
            <w:tcMar>
              <w:top w:w="90" w:type="dxa"/>
              <w:start w:w="120" w:type="dxa"/>
              <w:bottom w:w="90" w:type="dxa"/>
              <w:end w:w="120" w:type="dxa"/>
            </w:tcMar>
          </w:tcPr>
          <w:p>
            <w:pPr>
              <w:spacing w:after="0" w:line="252" w:lineRule="auto"/>
            </w:pPr>
            <w:r>
              <w:rPr>
                <w:sz w:val="17"/>
              </w:rPr>
              <w:t>Raporlama/yedekleme</w:t>
            </w:r>
          </w:p>
        </w:tc>
        <w:tc>
          <w:tcPr>
            <w:tcW w:type="dxa" w:w="5688"/>
            <w:vAlign w:val="center"/>
            <w:tcMar>
              <w:top w:w="90" w:type="dxa"/>
              <w:start w:w="120" w:type="dxa"/>
              <w:bottom w:w="90" w:type="dxa"/>
              <w:end w:w="120" w:type="dxa"/>
            </w:tcMar>
          </w:tcPr>
          <w:p>
            <w:pPr>
              <w:spacing w:after="0" w:line="252" w:lineRule="auto"/>
            </w:pPr>
            <w:r>
              <w:rPr>
                <w:sz w:val="17"/>
              </w:rPr>
              <w:t>Operasyonel raporlar ve otomatik yedek yapılandırması yapılmadı.</w:t>
            </w:r>
          </w:p>
        </w:tc>
      </w:tr>
    </w:tbl>
    <w:p>
      <w:pPr>
        <w:spacing w:after="20"/>
      </w:pPr>
    </w:p>
    <w:p>
      <w:pPr>
        <w:pStyle w:val="Heading1"/>
      </w:pPr>
      <w:r>
        <w:t>12. Önerilen altyapı geliştirme sırası</w:t>
      </w:r>
    </w:p>
    <w:p>
      <w:pPr>
        <w:pStyle w:val="ListNumber"/>
        <w:numPr>
          <w:ilvl w:val="0"/>
          <w:numId w:val="13"/>
        </w:numPr>
      </w:pPr>
      <w:r>
        <w:t>P0: Stok açılışı ve authentication düzeltmeleri tamamlandı; bunlar için otomatik regression testleri yazın.</w:t>
      </w:r>
    </w:p>
    <w:p>
      <w:pPr>
        <w:pStyle w:val="ListNumber"/>
        <w:numPr>
          <w:ilvl w:val="0"/>
          <w:numId w:val="13"/>
        </w:numPr>
      </w:pPr>
      <w:r>
        <w:t>P0: Fatura, stok fişi, sevk ve sayım için iptal/ters kayıt standardını kurun.</w:t>
      </w:r>
    </w:p>
    <w:p>
      <w:pPr>
        <w:pStyle w:val="ListNumber"/>
        <w:numPr>
          <w:ilvl w:val="0"/>
          <w:numId w:val="13"/>
        </w:numPr>
      </w:pPr>
      <w:r>
        <w:t>P0: SQL Server integration test projesini oluşturun; transaction rollback ve eşzamanlı stok kontrolünü test edin.</w:t>
      </w:r>
    </w:p>
    <w:p>
      <w:pPr>
        <w:pStyle w:val="ListNumber"/>
        <w:numPr>
          <w:ilvl w:val="0"/>
          <w:numId w:val="13"/>
        </w:numPr>
      </w:pPr>
      <w:r>
        <w:t>P1: Ortak InventoryBalanceService kurun; ürün + varyant + depo + rezervasyon hesabını bütün servislerde kullanın.</w:t>
      </w:r>
    </w:p>
    <w:p>
      <w:pPr>
        <w:pStyle w:val="ListNumber"/>
        <w:numPr>
          <w:ilvl w:val="0"/>
          <w:numId w:val="13"/>
        </w:numPr>
      </w:pPr>
      <w:r>
        <w:t>P1: Tahsilat/tediye posting servisini cari ve kasa/banka hareketleriyle atomik hale getirin.</w:t>
      </w:r>
    </w:p>
    <w:p>
      <w:pPr>
        <w:pStyle w:val="ListNumber"/>
        <w:numPr>
          <w:ilvl w:val="0"/>
          <w:numId w:val="13"/>
        </w:numPr>
      </w:pPr>
      <w:r>
        <w:t>P1: AuditLog üretimini merkezi SaveChanges interceptor ile otomatikleştirin.</w:t>
      </w:r>
    </w:p>
    <w:p>
      <w:pPr>
        <w:pStyle w:val="ListNumber"/>
        <w:numPr>
          <w:ilvl w:val="0"/>
          <w:numId w:val="13"/>
        </w:numPr>
      </w:pPr>
      <w:r>
        <w:t>P1: Belge numarası üretimini NumberSequence üzerinden fatura, fiş, sayım, sevk ve tahsilata genişletin.</w:t>
      </w:r>
    </w:p>
    <w:p>
      <w:pPr>
        <w:pStyle w:val="ListNumber"/>
        <w:numPr>
          <w:ilvl w:val="0"/>
          <w:numId w:val="13"/>
        </w:numPr>
      </w:pPr>
      <w:r>
        <w:t>P1: Migration’ı boş/test SQL Server veritabanına uygulayıp seed ve foreign key kontrollerini çalıştırın.</w:t>
      </w:r>
    </w:p>
    <w:p>
      <w:pPr>
        <w:pStyle w:val="ListNumber"/>
        <w:numPr>
          <w:ilvl w:val="0"/>
          <w:numId w:val="13"/>
        </w:numPr>
      </w:pPr>
      <w:r>
        <w:t>P2: Application/Infrastructure katman ayrımını tamamlayın; ardından modül ekranlarına geçin.</w:t>
      </w:r>
    </w:p>
    <w:p>
      <w:pPr>
        <w:pStyle w:val="Heading1"/>
      </w:pPr>
      <w:r>
        <w:t>13. Canlıya geçmeden önce kabul kriterleri</w:t>
      </w:r>
    </w:p>
    <w:p>
      <w:pPr>
        <w:pStyle w:val="ListBullet"/>
      </w:pPr>
      <w:r>
        <w:t>☐ Her stok değişimi kaynak belge ve hareket satırı üzerinden izlenebiliyor.</w:t>
      </w:r>
    </w:p>
    <w:p>
      <w:pPr>
        <w:pStyle w:val="ListBullet"/>
      </w:pPr>
      <w:r>
        <w:t>☐ Ürün kartı stok miktarı ile depo hareket toplamı arasında fark bulunmuyor.</w:t>
      </w:r>
    </w:p>
    <w:p>
      <w:pPr>
        <w:pStyle w:val="ListBullet"/>
      </w:pPr>
      <w:r>
        <w:t>☐ Onaylanan her belge tekrar onaylanamıyor; idempotency testi geçiyor.</w:t>
      </w:r>
    </w:p>
    <w:p>
      <w:pPr>
        <w:pStyle w:val="ListBullet"/>
      </w:pPr>
      <w:r>
        <w:t>☐ İptal işlemi silme yapmıyor, ters kayıt oluşturuyor.</w:t>
      </w:r>
    </w:p>
    <w:p>
      <w:pPr>
        <w:pStyle w:val="ListBullet"/>
      </w:pPr>
      <w:r>
        <w:t>☐ Satış faturası aynı transaction’da stok ve cariyi etkiliyor.</w:t>
      </w:r>
    </w:p>
    <w:p>
      <w:pPr>
        <w:pStyle w:val="ListBullet"/>
      </w:pPr>
      <w:r>
        <w:t>☐ Alış faturası aynı transaction’da stok ve cariyi etkiliyor.</w:t>
      </w:r>
    </w:p>
    <w:p>
      <w:pPr>
        <w:pStyle w:val="ListBullet"/>
      </w:pPr>
      <w:r>
        <w:t>☐ Tahsilat/tediye aynı transaction’da cari ve kasa/bankayı etkiliyor.</w:t>
      </w:r>
    </w:p>
    <w:p>
      <w:pPr>
        <w:pStyle w:val="ListBullet"/>
      </w:pPr>
      <w:r>
        <w:t>☐ Sayım sonucu sistem/sayılan/fark bilgilerini ve +/− hareketi saklıyor.</w:t>
      </w:r>
    </w:p>
    <w:p>
      <w:pPr>
        <w:pStyle w:val="ListBullet"/>
      </w:pPr>
      <w:r>
        <w:t>☐ Aynı barkod ve stok kodu yarış koşulunda dahi ikinci kez kaydedilemiyor.</w:t>
      </w:r>
    </w:p>
    <w:p>
      <w:pPr>
        <w:pStyle w:val="ListBullet"/>
      </w:pPr>
      <w:r>
        <w:t>☐ Yönetici ve personel izinleri otomatik testlerle doğrulanıyor.</w:t>
      </w:r>
    </w:p>
    <w:p>
      <w:pPr>
        <w:pStyle w:val="ListBullet"/>
      </w:pPr>
      <w:r>
        <w:t>☐ Migration temiz SQL Server 2022 Express üzerinde baştan sona uygulanıyor.</w:t>
      </w:r>
    </w:p>
    <w:p>
      <w:pPr>
        <w:pStyle w:val="ListBullet"/>
      </w:pPr>
      <w:r>
        <w:t>☐ Günlük SQL yedeği ve geri yükleme provası başarıyla tamamlanıyor.</w:t>
      </w:r>
    </w:p>
    <w:p>
      <w:pPr>
        <w:pStyle w:val="Heading1"/>
      </w:pPr>
      <w:r>
        <w:t>14. Sonuç</w:t>
      </w:r>
    </w:p>
    <w:p>
      <w:r>
        <w:t>ŞahinSoft sistemi için genişleyebilir bir ön muhasebe veri modeli oluşturulmuştur. Özellikle belge satırlarının stok ve cari hareketlerine foreign key ile bağlanması, GUID kimlikleri, benzersiz indeksler, parametrik stok kuralları ve transaction kullanan posting servisleri doğru yöndedir.</w:t>
      </w:r>
    </w:p>
    <w:p>
      <w:r>
        <w:t>Ancak altyapı denetiminin sonucu “canlıya hazır” değildir. Öncelik; stok bakiyesini tek kaynaktan üretmek, authentication hattını tamamlamak, ters kayıt standardını kurmak ve otomatik testlerle bütün bağlantıları kanıtlamaktır. Bu dört konu tamamlandıktan sonra ekran geliştirmesine güvenle hız verilebilir.</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ŞahinSoft Ön Muhasebe ve Stok Yönetim Sistemi  •  27 Temmuz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ŞAHİNSOFT  |  Altyapı Denetim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05" w:hanging="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605" w:hanging="28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ŞahinSoft Teknik Altyapı Denetim Raporu</dc:title>
  <dc:subject>Ön muhasebe, stok, cari ve teklif sistemi altyapı denetimi</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