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[object Object]"/>
      </w:pPr>
      <w:r>
        <w:t xml:space="preserve">UrbanAir AI — Business Plan</w:t>
      </w:r>
    </w:p>
    <w:p>
      <w:pPr>
        <w:pStyle w:val="[object Object]"/>
      </w:pPr>
      <w:r>
        <w:t xml:space="preserve">Go-to-Market Strategy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Phase 1 (2026): Complete pilot conversions in Sham Shui Po and secure 2–3 additional district-level deployments in Hong Kong. Build reference cases and tender qualifications.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Phase 2 (2027): Scale within Hong Kong municipal and large property groups. Begin GBA market entry with localized version.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Phase 3 (2028+): Expand data licensing and health/wellness verticals. Explore strategic partnerships with sensor manufacturers and smart city platforms.</w:t>
      </w:r>
    </w:p>
    <w:p>
      <w:pPr>
        <w:pStyle w:val="[object Object]"/>
      </w:pPr>
      <w:r>
        <w:t xml:space="preserve">Funding Requirements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Seeking HKD 8–12 million in Seed / Pre-Series A funding to support: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• Manufacturing scale-up and supply chain setup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• Sales &amp; business development team expansion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• Regulatory certification and PDPO full compliance program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• Initial GBA market entry activities</w:t>
      </w:r>
    </w:p>
    <w:p>
      <w:pPr>
        <w:pStyle w:val="[object Object]"/>
      </w:pPr>
      <w:r>
        <w:t xml:space="preserve">Key Risks &amp; Mitigations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• Regulatory risk (AI governance / health claims): Mitigated by conservative positioning as environmental advisory system and built-in human oversight.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• Competition from low-cost sensors: Our edge AI + validated HK-specific performance + workflow integration create measurable differentiation.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• Government sales cycle length: Addressed by starting with district-level pilots and building strong reference cases before large tenders.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2026-07-05T07:50:57.147Z</dcterms:created>
  <dcterms:modified xsi:type="dcterms:W3CDTF">2026-07-05T07:50:57.147Z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