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[object Object]"/>
      </w:pPr>
      <w:r>
        <w:t xml:space="preserve">UrbanAir AI — Market Estimate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 Market &amp; Sizing (Validated)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Primary beachhead: Hong Kong municipal environmental monitoring + large commercial estates + health/education institutions. Bottom-up validated addressable market ~HKD 95M annual recurring revenue at scale.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Expansion: Greater Bay Area second-tier cities + ESG reporting demand. Asia-Pacific environmental sensor + data services market growing &gt;12% CAGR.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 Model (Tested with Pilot Customers)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• Hardware: Sell nodes at ~HKD 2,150 (volume) — gross margin 55–60% at scale.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• SaaS: Tiered subscription HKD 650–850 per node per month.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• Additional: Data licensing to insurers/healthtech and government tenders.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5-Year Conservative Financial Projection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Year 1 (2026): 220 nodes → HKD 1.4M revenue, 58% gross margin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Year 2: 780 nodes → HKD 5.8M revenue, 61% gross margin, EBITDA positive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Year 3: 1,800 nodes → HKD 14.2M revenue, 63% gross margin</w:t>
      </w:r>
    </w:p>
    <w:p>
      <w:pPr>
        <w:spacing w:after="40" w:before="60"/>
        <w:jc w:val="center"/>
      </w:pPr>
      <w:r>
        <w:drawing>
          <wp:inline distT="0" distB="0" distL="0" distR="0">
            <wp:extent cx="4191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Figure: UrbanAir AI Dashboard — Interactive map with source attribution and alerts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b819678bb008c4312a05453f8535565e04441c5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2026-07-05T07:50:57.084Z</dcterms:created>
  <dcterms:modified xsi:type="dcterms:W3CDTF">2026-07-05T07:50:57.084Z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