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C1427B">
      <w:r>
        <w:t>UrbanAir AI — Technology Description</w:t>
      </w:r>
    </w:p>
    <w:p w14:paraId="7FBFFD2F">
      <w:pPr>
        <w:spacing w:after="120"/>
      </w:pPr>
      <w:r>
        <w:rPr>
          <w:rFonts w:ascii="Arial" w:hAnsi="Arial" w:eastAsia="Arial" w:cs="Arial"/>
          <w:b/>
          <w:bCs/>
          <w:sz w:val="20"/>
          <w:szCs w:val="20"/>
        </w:rPr>
        <w:t>Core Innovation</w:t>
      </w:r>
    </w:p>
    <w:p w14:paraId="48F90773">
      <w:pPr>
        <w:spacing w:after="100"/>
      </w:pPr>
      <w:r>
        <w:rPr>
          <w:rFonts w:ascii="Arial" w:hAnsi="Arial" w:eastAsia="Arial" w:cs="Arial"/>
          <w:sz w:val="19"/>
          <w:szCs w:val="19"/>
        </w:rPr>
        <w:t>UrbanAir AI is a complete edge-to-cloud platform that delivers hyperlocal, real-time air quality intelligence with automatic pollutant source identification and health risk prediction. Our proprietary technology combines low-cost multi-gas sensor hardware with on-device TinyML models running on ESP32-class microcontrollers, enabling municipal-grade performance at consumer price points.</w:t>
      </w:r>
    </w:p>
    <w:p w14:paraId="7AFAAFA8">
      <w:pPr>
        <w:spacing w:after="80"/>
      </w:pPr>
      <w:r>
        <w:rPr>
          <w:rFonts w:ascii="Arial" w:hAnsi="Arial" w:eastAsia="Arial" w:cs="Arial"/>
          <w:b/>
          <w:bCs/>
          <w:sz w:val="20"/>
          <w:szCs w:val="20"/>
        </w:rPr>
        <w:t>Key Technical Components</w:t>
      </w:r>
    </w:p>
    <w:p w14:paraId="5784086B">
      <w:pPr>
        <w:spacing w:after="60"/>
      </w:pPr>
      <w:r>
        <w:rPr>
          <w:rFonts w:ascii="Arial" w:hAnsi="Arial" w:eastAsia="Arial" w:cs="Arial"/>
          <w:sz w:val="18"/>
          <w:szCs w:val="18"/>
        </w:rPr>
        <w:t>• Hardware: Custom multi-parameter sensor node (PM2.5/PM10, NO₂, O₃, VOC, Temp/Humidity) in IP65 weatherproof enclosure with solar + battery power. Target BOM &lt; HKD 800 at volume.</w:t>
      </w:r>
    </w:p>
    <w:p w14:paraId="58592D3B">
      <w:pPr>
        <w:spacing w:after="60"/>
      </w:pPr>
      <w:r>
        <w:rPr>
          <w:rFonts w:ascii="Arial" w:hAnsi="Arial" w:eastAsia="Arial" w:cs="Arial"/>
          <w:sz w:val="18"/>
          <w:szCs w:val="18"/>
        </w:rPr>
        <w:t xml:space="preserve">• Edge AI: Quantized TinyML models performing real-time drift compensation, multi-sensor fusion, and 4-class pollutant source classification (Traffic / Construction / Cooking / Background) with &gt;84% validated accuracy in </w:t>
      </w:r>
      <w:r>
        <w:rPr>
          <w:rFonts w:hint="eastAsia" w:ascii="Arial" w:hAnsi="Arial" w:eastAsia="新細明體" w:cs="Arial"/>
          <w:sz w:val="18"/>
          <w:szCs w:val="18"/>
          <w:lang w:eastAsia="zh-TW"/>
        </w:rPr>
        <w:t>real-world</w:t>
      </w:r>
      <w:r>
        <w:rPr>
          <w:rFonts w:ascii="Arial" w:hAnsi="Arial" w:eastAsia="Arial" w:cs="Arial"/>
          <w:sz w:val="18"/>
          <w:szCs w:val="18"/>
        </w:rPr>
        <w:t>urban conditions.</w:t>
      </w:r>
    </w:p>
    <w:p w14:paraId="5DF052E3">
      <w:pPr>
        <w:spacing w:after="60"/>
      </w:pPr>
      <w:r>
        <w:rPr>
          <w:rFonts w:ascii="Arial" w:hAnsi="Arial" w:eastAsia="Arial" w:cs="Arial"/>
          <w:sz w:val="18"/>
          <w:szCs w:val="18"/>
        </w:rPr>
        <w:t>• Cloud Platform: Aggregated data, epidemiological health risk modeling, interactive dashboard, API, and automated alerts.</w:t>
      </w:r>
    </w:p>
    <w:p w14:paraId="10FB500E">
      <w:pPr>
        <w:spacing w:after="120"/>
      </w:pPr>
      <w:r>
        <w:rPr>
          <w:rFonts w:ascii="Arial" w:hAnsi="Arial" w:eastAsia="Arial" w:cs="Arial"/>
          <w:sz w:val="18"/>
          <w:szCs w:val="18"/>
        </w:rPr>
        <w:t>• Health Layer: Beta model linking hyperlocal AQ data with anonymized respiratory health outcomes.</w:t>
      </w:r>
    </w:p>
    <w:p w14:paraId="5BEEA1C7">
      <w:pPr>
        <w:spacing w:after="80"/>
      </w:pPr>
      <w:r>
        <w:rPr>
          <w:rFonts w:ascii="Arial" w:hAnsi="Arial" w:eastAsia="Arial" w:cs="Arial"/>
          <w:b/>
          <w:bCs/>
          <w:sz w:val="20"/>
          <w:szCs w:val="20"/>
        </w:rPr>
        <w:t>Current Maturity (Founder Self-Assessment)</w:t>
      </w:r>
    </w:p>
    <w:p w14:paraId="6E0CFECB">
      <w:pPr>
        <w:spacing w:after="60"/>
      </w:pPr>
      <w:r>
        <w:rPr>
          <w:rFonts w:ascii="Arial" w:hAnsi="Arial" w:eastAsia="Arial" w:cs="Arial"/>
          <w:sz w:val="18"/>
          <w:szCs w:val="18"/>
        </w:rPr>
        <w:t xml:space="preserve">TRL 7 — Operational prototype demonstrated in </w:t>
      </w:r>
      <w:r>
        <w:rPr>
          <w:rFonts w:hint="eastAsia" w:ascii="Arial" w:hAnsi="Arial" w:eastAsia="新細明體" w:cs="Arial"/>
          <w:sz w:val="18"/>
          <w:szCs w:val="18"/>
          <w:lang w:eastAsia="zh-TW"/>
        </w:rPr>
        <w:t>an experimental</w:t>
      </w:r>
      <w:r>
        <w:rPr>
          <w:rFonts w:ascii="Arial" w:hAnsi="Arial" w:eastAsia="Arial" w:cs="Arial"/>
          <w:sz w:val="18"/>
          <w:szCs w:val="18"/>
        </w:rPr>
        <w:t xml:space="preserve"> municipal environment</w:t>
      </w:r>
    </w:p>
    <w:p w14:paraId="7EB5A0DC">
      <w:pPr>
        <w:spacing w:after="200"/>
        <w:jc w:val="center"/>
      </w:pPr>
      <w:bookmarkStart w:id="0" w:name="_GoBack"/>
      <w:bookmarkEnd w:id="0"/>
    </w:p>
    <w:sectPr>
      <w:pgSz w:w="11906" w:h="16838"/>
      <w:pgMar w:top="720" w:right="720" w:bottom="720" w:left="72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細明體">
    <w:panose1 w:val="02020500000000000000"/>
    <w:charset w:val="88"/>
    <w:family w:val="auto"/>
    <w:pitch w:val="default"/>
    <w:sig w:usb0="A00002FF" w:usb1="28CFFCFA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1E105017"/>
    <w:rsid w:val="4D2D05E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rPr>
      <w:rFonts w:asciiTheme="minorHAnsi" w:hAnsiTheme="minorHAnsi" w:eastAsiaTheme="minorEastAsia" w:cstheme="minorBid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Theme="minorHAnsi" w:hAnsiTheme="minorHAnsi" w:eastAsiaTheme="minorEastAsia" w:cstheme="minorBid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Theme="minorHAnsi" w:hAnsiTheme="minorHAnsi" w:eastAsiaTheme="minorEastAsia" w:cstheme="minorBid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Theme="minorHAnsi" w:hAnsiTheme="minorHAnsi" w:eastAsiaTheme="minorEastAsia" w:cstheme="minorBidi"/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rFonts w:asciiTheme="minorHAnsi" w:hAnsiTheme="minorHAnsi" w:eastAsiaTheme="minorEastAsia" w:cstheme="minorBidi"/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rFonts w:asciiTheme="minorHAnsi" w:hAnsiTheme="minorHAnsi" w:eastAsiaTheme="minorEastAsia" w:cstheme="minorBidi"/>
      <w:color w:val="1F4D78"/>
      <w:sz w:val="21"/>
      <w:szCs w:val="22"/>
    </w:rPr>
  </w:style>
  <w:style w:type="character" w:default="1" w:styleId="8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Theme="minorHAnsi" w:hAnsiTheme="minorHAnsi" w:eastAsiaTheme="minorEastAsia" w:cstheme="minorBidi"/>
      <w:sz w:val="56"/>
      <w:szCs w:val="56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187</Words>
  <Characters>1227</Characters>
  <TotalTime>0</TotalTime>
  <ScaleCrop>false</ScaleCrop>
  <LinksUpToDate>false</LinksUpToDate>
  <CharactersWithSpaces>1403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2026-07-05T07:50:00Z</dcterms:created>
  <dc:creator>Un-named</dc:creator>
  <cp:lastModifiedBy>Yu Edison</cp:lastModifiedBy>
  <dcterms:modified xsi:type="dcterms:W3CDTF">2026-07-05T12:29:47Z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eyJoZGlkIjoiZGE3Y2I3OTRlNTA1NjUwZGY1NGI3NTM4NWZhMGI4N2IiLCJ1c2VySWQiOiIxNjY2NTA5NjAxMjA0In0=</vt:lpwstr>
  </property>
  <property fmtid="{D5CDD505-2E9C-101B-9397-08002B2CF9AE}" pid="3" name="KSOProductBuildVer">
    <vt:lpwstr>1033-12.1.0.26880</vt:lpwstr>
  </property>
  <property fmtid="{D5CDD505-2E9C-101B-9397-08002B2CF9AE}" pid="4" name="ICV">
    <vt:lpwstr>53922CECCAB2428E97E7820AEC09810A_12</vt:lpwstr>
  </property>
</Properties>
</file>