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10987" w:rsidRDefault="00A10987" w:rsidP="00A10987">
      <w:pPr>
        <w:spacing w:after="0" w:line="240" w:lineRule="auto"/>
        <w:jc w:val="center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Estructura metodológica</w:t>
      </w:r>
    </w:p>
    <w:p w:rsidR="00C15ADF" w:rsidRPr="00C15ADF" w:rsidRDefault="00C15ADF" w:rsidP="00A10987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15ADF">
        <w:rPr>
          <w:rFonts w:ascii="Tahoma" w:hAnsi="Tahoma" w:cs="Tahoma"/>
          <w:sz w:val="24"/>
        </w:rPr>
        <w:t>P</w:t>
      </w:r>
      <w:r w:rsidR="00D12480" w:rsidRPr="00C15ADF">
        <w:rPr>
          <w:rFonts w:ascii="Tahoma" w:hAnsi="Tahoma" w:cs="Tahoma"/>
          <w:sz w:val="24"/>
        </w:rPr>
        <w:t xml:space="preserve">lan de </w:t>
      </w:r>
      <w:r w:rsidRPr="00C15ADF">
        <w:rPr>
          <w:rFonts w:ascii="Tahoma" w:hAnsi="Tahoma" w:cs="Tahoma"/>
          <w:sz w:val="24"/>
        </w:rPr>
        <w:t>trabajo concertado con las IEO</w:t>
      </w:r>
      <w:bookmarkStart w:id="0" w:name="_GoBack"/>
      <w:bookmarkEnd w:id="0"/>
      <w:r w:rsidRPr="00C15ADF">
        <w:rPr>
          <w:rFonts w:ascii="Tahoma" w:hAnsi="Tahoma" w:cs="Tahoma"/>
          <w:sz w:val="24"/>
        </w:rPr>
        <w:t>.</w:t>
      </w:r>
    </w:p>
    <w:p w:rsidR="00191126" w:rsidRDefault="00C15ADF" w:rsidP="00A10987">
      <w:pPr>
        <w:spacing w:after="0" w:line="240" w:lineRule="auto"/>
        <w:jc w:val="center"/>
        <w:rPr>
          <w:rFonts w:ascii="Tahoma" w:hAnsi="Tahoma" w:cs="Tahoma"/>
          <w:sz w:val="24"/>
        </w:rPr>
      </w:pPr>
      <w:r w:rsidRPr="00C15ADF">
        <w:rPr>
          <w:rFonts w:ascii="Tahoma" w:hAnsi="Tahoma" w:cs="Tahoma"/>
          <w:sz w:val="24"/>
        </w:rPr>
        <w:t>A</w:t>
      </w:r>
      <w:r w:rsidR="00D12480" w:rsidRPr="00C15ADF">
        <w:rPr>
          <w:rFonts w:ascii="Tahoma" w:hAnsi="Tahoma" w:cs="Tahoma"/>
          <w:sz w:val="24"/>
        </w:rPr>
        <w:t>decuado a la IPR, por promotores de lectura.</w:t>
      </w:r>
    </w:p>
    <w:p w:rsidR="00010000" w:rsidRDefault="00010000" w:rsidP="00191126">
      <w:pPr>
        <w:jc w:val="both"/>
        <w:rPr>
          <w:rFonts w:ascii="Tahoma" w:hAnsi="Tahoma" w:cs="Tahoma"/>
          <w:sz w:val="24"/>
        </w:rPr>
      </w:pPr>
    </w:p>
    <w:p w:rsidR="00010000" w:rsidRPr="006E636D" w:rsidRDefault="00010000" w:rsidP="00010000">
      <w:pPr>
        <w:spacing w:line="240" w:lineRule="auto"/>
        <w:ind w:left="2268" w:right="283"/>
        <w:jc w:val="both"/>
        <w:rPr>
          <w:rFonts w:ascii="Tahoma" w:hAnsi="Tahoma" w:cs="Tahoma"/>
        </w:rPr>
      </w:pPr>
      <w:r w:rsidRPr="006E636D">
        <w:rPr>
          <w:rFonts w:ascii="Tahoma" w:hAnsi="Tahoma" w:cs="Tahoma"/>
        </w:rPr>
        <w:t xml:space="preserve">El modo de estudiar esas circunstancias es </w:t>
      </w:r>
      <w:r w:rsidRPr="006E636D">
        <w:rPr>
          <w:rFonts w:ascii="Tahoma" w:hAnsi="Tahoma" w:cs="Tahoma"/>
          <w:i/>
        </w:rPr>
        <w:t>acercarse</w:t>
      </w:r>
      <w:r w:rsidRPr="006E636D">
        <w:rPr>
          <w:rFonts w:ascii="Tahoma" w:hAnsi="Tahoma" w:cs="Tahoma"/>
        </w:rPr>
        <w:t>, con voluntad analítica, a la forma de vida en que se producen, depurando así al máximo los estereotipos iniciales y entrando en diálogo con los agentes de la cultura investigada.</w:t>
      </w:r>
    </w:p>
    <w:p w:rsidR="00010000" w:rsidRDefault="00010000" w:rsidP="00010000">
      <w:pPr>
        <w:spacing w:line="240" w:lineRule="auto"/>
        <w:ind w:left="2268" w:right="283"/>
        <w:jc w:val="right"/>
        <w:rPr>
          <w:rFonts w:ascii="Arial" w:hAnsi="Arial" w:cs="Arial"/>
        </w:rPr>
      </w:pPr>
      <w:r w:rsidRPr="006E636D">
        <w:rPr>
          <w:rFonts w:ascii="Tahoma" w:hAnsi="Tahoma" w:cs="Tahoma"/>
        </w:rPr>
        <w:t>Honorio Velazco &amp; Angel Diaz De Rada</w:t>
      </w:r>
    </w:p>
    <w:p w:rsidR="00062095" w:rsidRDefault="00062095" w:rsidP="0019112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En el marco del proyecto MCEE se establece que la metodología de intervención desde las artes como aporte al mejoramiento de las competencias básicas en estudiantes de grados sexto a 11, lleva inmersa en sí misma un proceso de investigación, puesto que toda actividad que se realice en la escuela, debe propender por el mejoramiento de la calidad de la educación y en este sentido requiere de una reflexión constante que pase por el ejercicio de conocimiento del contexto, observación en simultaneo con la aplicación de estrategias didácticas (previamente diseñadas), recolección, análisis y sistematización de información, proceso que permite el desarrollo de nuevas propuestas.</w:t>
      </w:r>
      <w:r w:rsidR="00010000">
        <w:rPr>
          <w:rFonts w:ascii="Tahoma" w:hAnsi="Tahoma" w:cs="Tahoma"/>
          <w:sz w:val="24"/>
        </w:rPr>
        <w:t xml:space="preserve"> </w:t>
      </w:r>
    </w:p>
    <w:p w:rsidR="00062095" w:rsidRDefault="00062095" w:rsidP="0019112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 xml:space="preserve">En ente orden de ideas, el ajuste de los cronogramas concertados con las IEO dentro de </w:t>
      </w:r>
      <w:r w:rsidR="00010000">
        <w:rPr>
          <w:rFonts w:ascii="Tahoma" w:hAnsi="Tahoma" w:cs="Tahoma"/>
          <w:sz w:val="24"/>
        </w:rPr>
        <w:t>la estructura metodológica</w:t>
      </w:r>
      <w:r>
        <w:rPr>
          <w:rFonts w:ascii="Tahoma" w:hAnsi="Tahoma" w:cs="Tahoma"/>
          <w:sz w:val="24"/>
        </w:rPr>
        <w:t xml:space="preserve"> de la Investigación Práctica </w:t>
      </w:r>
      <w:r w:rsidR="00010000">
        <w:rPr>
          <w:rFonts w:ascii="Tahoma" w:hAnsi="Tahoma" w:cs="Tahoma"/>
          <w:sz w:val="24"/>
        </w:rPr>
        <w:t>Reflexiva</w:t>
      </w:r>
      <w:r>
        <w:rPr>
          <w:rFonts w:ascii="Tahoma" w:hAnsi="Tahoma" w:cs="Tahoma"/>
          <w:sz w:val="24"/>
        </w:rPr>
        <w:t xml:space="preserve"> (IPR), </w:t>
      </w:r>
      <w:r w:rsidR="00010000">
        <w:rPr>
          <w:rFonts w:ascii="Tahoma" w:hAnsi="Tahoma" w:cs="Tahoma"/>
          <w:sz w:val="24"/>
        </w:rPr>
        <w:t xml:space="preserve">como parte de la experiencia de investigación aplicada de conocimiento situado diferenciado, tiene en cuenta que </w:t>
      </w:r>
    </w:p>
    <w:p w:rsidR="00B12006" w:rsidRPr="006E636D" w:rsidRDefault="00B12006" w:rsidP="00010000">
      <w:pPr>
        <w:spacing w:before="100" w:beforeAutospacing="1" w:after="100" w:afterAutospacing="1"/>
        <w:ind w:left="1134"/>
        <w:jc w:val="both"/>
        <w:rPr>
          <w:rFonts w:ascii="Tahoma" w:hAnsi="Tahoma" w:cs="Tahoma"/>
        </w:rPr>
      </w:pPr>
      <w:r w:rsidRPr="006E636D">
        <w:rPr>
          <w:rFonts w:ascii="Tahoma" w:hAnsi="Tahoma" w:cs="Tahoma"/>
        </w:rPr>
        <w:t>el espacio cotidiano… es el escenario de los procesos de apropiación donde cada sujeto conoce de nuevos saberes, confronta los nuevos saberes con aquellos que lo anteceden, rechaza algunos e integran otros para generar, con éstos, otros saberes, los cuales al ponerlos en práctica, inician nuevamente el ciclo de integración o rechazo (Baeza 2007)</w:t>
      </w:r>
      <w:r w:rsidR="00480406" w:rsidRPr="006E636D">
        <w:rPr>
          <w:rFonts w:ascii="Tahoma" w:hAnsi="Tahoma" w:cs="Tahoma"/>
        </w:rPr>
        <w:t>.</w:t>
      </w:r>
    </w:p>
    <w:p w:rsidR="00270383" w:rsidRPr="006E636D" w:rsidRDefault="00270383" w:rsidP="00270383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t>De igual manera, se hace claridad que por la estructura metodológica propuesta, cada ingreso a la IEO se convierte en un proceso simultáneo de intervención e investigación en donde la práctica y la reflexión permiten construir, aplicar, revisar y reestructurar según las necesidades del contexto escolar a la vez que se analiza y se interviene el mismo.</w:t>
      </w:r>
    </w:p>
    <w:p w:rsidR="00480406" w:rsidRPr="006E636D" w:rsidRDefault="00480406" w:rsidP="00480406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t>A continuación se presenta el ajuste de cronogramas por cada una de las IEO, posterior a la fase de planeación adelantada durante los meses de enero y febrero de 2018 que dieron como resultado el diseño de las actividades por el número de sesiones y la población a trabajar – Estudiantes y padres de familia o acudientes.</w:t>
      </w:r>
    </w:p>
    <w:p w:rsidR="00480406" w:rsidRPr="006E636D" w:rsidRDefault="00480406" w:rsidP="00480406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lastRenderedPageBreak/>
        <w:t>En el cuadro aparecen las líneas gruesas de la propuesta de trabajo para cada una de las poblaciones, dividida en los tres aspectos de la ficha de los promotores de lectura y cada una de ellas corresponde a los ciclos de la IPR:</w:t>
      </w:r>
    </w:p>
    <w:p w:rsidR="003205F7" w:rsidRPr="006E636D" w:rsidRDefault="003205F7" w:rsidP="00480406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t>CICLO I – Análisis del estado actual de las IEO, al que corresponden conocer el contexto de trabajo, la población</w:t>
      </w:r>
      <w:r w:rsidR="00270383" w:rsidRPr="006E636D">
        <w:rPr>
          <w:rFonts w:ascii="Tahoma" w:hAnsi="Tahoma" w:cs="Tahoma"/>
          <w:sz w:val="24"/>
        </w:rPr>
        <w:t xml:space="preserve">, </w:t>
      </w:r>
      <w:r w:rsidRPr="006E636D">
        <w:rPr>
          <w:rFonts w:ascii="Tahoma" w:hAnsi="Tahoma" w:cs="Tahoma"/>
          <w:sz w:val="24"/>
        </w:rPr>
        <w:t>los proyectos de</w:t>
      </w:r>
      <w:r w:rsidR="00270383" w:rsidRPr="006E636D">
        <w:rPr>
          <w:rFonts w:ascii="Tahoma" w:hAnsi="Tahoma" w:cs="Tahoma"/>
          <w:sz w:val="24"/>
        </w:rPr>
        <w:t xml:space="preserve"> la </w:t>
      </w:r>
      <w:r w:rsidRPr="006E636D">
        <w:rPr>
          <w:rFonts w:ascii="Tahoma" w:hAnsi="Tahoma" w:cs="Tahoma"/>
          <w:sz w:val="24"/>
        </w:rPr>
        <w:t>Promoción de lectura existentes y la Cartografía de las IEO en relación con las Bibliotecas públicas.</w:t>
      </w:r>
      <w:r w:rsidR="00270383" w:rsidRPr="006E636D">
        <w:rPr>
          <w:rFonts w:ascii="Tahoma" w:hAnsi="Tahoma" w:cs="Tahoma"/>
          <w:sz w:val="24"/>
        </w:rPr>
        <w:t xml:space="preserve"> </w:t>
      </w:r>
    </w:p>
    <w:p w:rsidR="00270383" w:rsidRPr="006E636D" w:rsidRDefault="00270383" w:rsidP="00270383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t>CICLO 2 – Reflexión sobre la práctica, al que corresponden Evaluar las actividades realizadas en el proceso de inmersión en las IEO, como base para realizar los ajustes necesarios, a partir de tres preguntas orientadoras, ¿Qué leer? ¿Por qué leer? ¿Para qué leer? -  Y la re-creación (nuevas versiones) de las estrategias de promoción de lectura que se convierten en la innovación de la promoción de lectura desde la propuesta de Mi Comunidad es Escuela.</w:t>
      </w:r>
    </w:p>
    <w:p w:rsidR="00270383" w:rsidRPr="006E636D" w:rsidRDefault="00270383" w:rsidP="006E636D">
      <w:pPr>
        <w:spacing w:before="100" w:beforeAutospacing="1" w:after="100" w:afterAutospacing="1"/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  <w:sz w:val="24"/>
        </w:rPr>
        <w:t xml:space="preserve">CICLO 3 - Sistematización de la experiencia que corresponde a la elaboración de documentos que contienen el recorrido del proceso, los ajustes y la presentación de propuestas de educación a través de las artes, promoviendo encuentros con LA PALABRA en espacios convencionales </w:t>
      </w:r>
      <w:r w:rsidR="006E636D" w:rsidRPr="006E636D">
        <w:rPr>
          <w:rFonts w:ascii="Tahoma" w:hAnsi="Tahoma" w:cs="Tahoma"/>
          <w:sz w:val="24"/>
        </w:rPr>
        <w:t>para estudiantes y padres de familia en la ruta del mejoramiento de las competencias básicas.</w:t>
      </w:r>
    </w:p>
    <w:p w:rsidR="00D12480" w:rsidRDefault="00B12006" w:rsidP="00191126">
      <w:pPr>
        <w:jc w:val="both"/>
        <w:rPr>
          <w:rFonts w:ascii="Tahoma" w:hAnsi="Tahoma" w:cs="Tahoma"/>
          <w:sz w:val="24"/>
        </w:rPr>
      </w:pPr>
      <w:r>
        <w:rPr>
          <w:rFonts w:ascii="Tahoma" w:hAnsi="Tahoma" w:cs="Tahoma"/>
          <w:sz w:val="24"/>
        </w:rPr>
        <w:t>REFERENCIAS BIBLIOGRÁFICAS</w:t>
      </w:r>
    </w:p>
    <w:p w:rsidR="00B12006" w:rsidRPr="006E636D" w:rsidRDefault="00B12006" w:rsidP="00B12006">
      <w:pPr>
        <w:spacing w:after="0" w:line="240" w:lineRule="auto"/>
        <w:jc w:val="both"/>
        <w:rPr>
          <w:rFonts w:ascii="Tahoma" w:hAnsi="Tahoma" w:cs="Tahoma"/>
        </w:rPr>
      </w:pPr>
      <w:r w:rsidRPr="006E636D">
        <w:rPr>
          <w:rFonts w:ascii="Tahoma" w:hAnsi="Tahoma" w:cs="Tahoma"/>
        </w:rPr>
        <w:t>Baeza, J. (2007). Algunos aportes metodológicos para acercarse al mundo de la vida y las transformaciones culturales de la juventud</w:t>
      </w:r>
      <w:r w:rsidRPr="006E636D">
        <w:rPr>
          <w:rStyle w:val="Refdenotaalpie"/>
          <w:rFonts w:ascii="Tahoma" w:hAnsi="Tahoma" w:cs="Tahoma"/>
        </w:rPr>
        <w:t xml:space="preserve"> </w:t>
      </w:r>
      <w:r w:rsidRPr="006E636D">
        <w:rPr>
          <w:rFonts w:ascii="Tahoma" w:hAnsi="Tahoma" w:cs="Tahoma"/>
        </w:rPr>
        <w:t xml:space="preserve"> en Sociedad y Mundo de la Vida a la luz del pensamiento Fenomenológico-Hermenéutico actual. Editor Ricardo Salas, Ediciones Universidad Católica Silva Hernández, 2007; Pág. 225 – 244 </w:t>
      </w:r>
    </w:p>
    <w:p w:rsidR="00B12006" w:rsidRPr="006E636D" w:rsidRDefault="00402D7A" w:rsidP="00B12006">
      <w:pPr>
        <w:jc w:val="both"/>
        <w:rPr>
          <w:rFonts w:ascii="Tahoma" w:hAnsi="Tahoma" w:cs="Tahoma"/>
        </w:rPr>
      </w:pPr>
      <w:hyperlink r:id="rId7" w:history="1">
        <w:r w:rsidR="00B12006" w:rsidRPr="006E636D">
          <w:rPr>
            <w:rStyle w:val="Hipervnculo"/>
            <w:rFonts w:ascii="Tahoma" w:hAnsi="Tahoma" w:cs="Tahoma"/>
          </w:rPr>
          <w:t>http://www.google.com.co/url?sa=t&amp;rct=j&amp;q=&amp;esrc=s&amp;frm=1&amp;source=web&amp;cd=1&amp;sqi=2&amp;ved=0CFkQFjAA&amp;url=http%3A%2F%2Fwww.ucsh.cl%2FUas%2Fincjs%2Fdownload.asp%3Fglb_cod_nodo%3D20071003143050%26hdd_nom_archivo%3DJorge%2520Baeza%2520-%2520Mundo%2520de%2520la%2520Vida%2520(aspectos%2520metodol%25F3gicos).pdf&amp;ei=SeevT82mG4bfgQf70KiYCQ&amp;usg=AFQjCNGyFi52PJ2LrtCenFGECXzViMcr7Q</w:t>
        </w:r>
      </w:hyperlink>
    </w:p>
    <w:p w:rsidR="00B12006" w:rsidRDefault="00B12006" w:rsidP="00191126">
      <w:pPr>
        <w:jc w:val="both"/>
        <w:rPr>
          <w:rFonts w:ascii="Tahoma" w:hAnsi="Tahoma" w:cs="Tahoma"/>
          <w:sz w:val="24"/>
        </w:rPr>
      </w:pPr>
      <w:r w:rsidRPr="006E636D">
        <w:rPr>
          <w:rFonts w:ascii="Tahoma" w:hAnsi="Tahoma" w:cs="Tahoma"/>
        </w:rPr>
        <w:t>Velasco, H. &amp; Díaz de Rada, A.  (2009). La lógica de la investigación etnográfica. Un modelo de trabajo para etnógrafos de escuela. Sexta edición. Madrid: Trotta, S.A.</w:t>
      </w:r>
    </w:p>
    <w:p w:rsidR="00D12480" w:rsidRDefault="00D12480" w:rsidP="00191126">
      <w:pPr>
        <w:jc w:val="both"/>
        <w:rPr>
          <w:rFonts w:ascii="Tahoma" w:hAnsi="Tahoma" w:cs="Tahoma"/>
          <w:sz w:val="24"/>
        </w:rPr>
      </w:pPr>
    </w:p>
    <w:p w:rsidR="00D12480" w:rsidRDefault="00D12480" w:rsidP="00191126">
      <w:pPr>
        <w:jc w:val="both"/>
        <w:rPr>
          <w:rFonts w:ascii="Tahoma" w:hAnsi="Tahoma" w:cs="Tahoma"/>
          <w:sz w:val="24"/>
        </w:rPr>
      </w:pPr>
    </w:p>
    <w:p w:rsidR="00191126" w:rsidRDefault="00191126" w:rsidP="00191126">
      <w:pPr>
        <w:jc w:val="both"/>
        <w:rPr>
          <w:rFonts w:ascii="Tahoma" w:hAnsi="Tahoma" w:cs="Tahoma"/>
          <w:sz w:val="24"/>
        </w:rPr>
      </w:pPr>
    </w:p>
    <w:p w:rsidR="00191126" w:rsidRPr="00191126" w:rsidRDefault="00191126" w:rsidP="00191126">
      <w:pPr>
        <w:jc w:val="both"/>
        <w:rPr>
          <w:rFonts w:ascii="Tahoma" w:hAnsi="Tahoma" w:cs="Tahoma"/>
          <w:sz w:val="24"/>
        </w:rPr>
      </w:pPr>
    </w:p>
    <w:sectPr w:rsidR="00191126" w:rsidRPr="00191126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402D7A" w:rsidRDefault="00402D7A" w:rsidP="00B12006">
      <w:pPr>
        <w:spacing w:after="0" w:line="240" w:lineRule="auto"/>
      </w:pPr>
      <w:r>
        <w:separator/>
      </w:r>
    </w:p>
  </w:endnote>
  <w:endnote w:type="continuationSeparator" w:id="0">
    <w:p w:rsidR="00402D7A" w:rsidRDefault="00402D7A" w:rsidP="00B1200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402D7A" w:rsidRDefault="00402D7A" w:rsidP="00B12006">
      <w:pPr>
        <w:spacing w:after="0" w:line="240" w:lineRule="auto"/>
      </w:pPr>
      <w:r>
        <w:separator/>
      </w:r>
    </w:p>
  </w:footnote>
  <w:footnote w:type="continuationSeparator" w:id="0">
    <w:p w:rsidR="00402D7A" w:rsidRDefault="00402D7A" w:rsidP="00B1200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7C1FB0"/>
    <w:multiLevelType w:val="hybridMultilevel"/>
    <w:tmpl w:val="7ED41E38"/>
    <w:lvl w:ilvl="0" w:tplc="74CAE202">
      <w:numFmt w:val="bullet"/>
      <w:lvlText w:val="-"/>
      <w:lvlJc w:val="left"/>
      <w:pPr>
        <w:ind w:left="720" w:hanging="360"/>
      </w:pPr>
      <w:rPr>
        <w:rFonts w:ascii="Arial" w:eastAsia="Times New Roman" w:hAnsi="Arial" w:cs="Arial" w:hint="default"/>
      </w:rPr>
    </w:lvl>
    <w:lvl w:ilvl="1" w:tplc="24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240A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240A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240A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240A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240A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240A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240A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D0D88"/>
    <w:rsid w:val="00010000"/>
    <w:rsid w:val="00062095"/>
    <w:rsid w:val="00144E4A"/>
    <w:rsid w:val="00191126"/>
    <w:rsid w:val="00270383"/>
    <w:rsid w:val="003205F7"/>
    <w:rsid w:val="003718D6"/>
    <w:rsid w:val="00402D7A"/>
    <w:rsid w:val="00480406"/>
    <w:rsid w:val="006E636D"/>
    <w:rsid w:val="0097285A"/>
    <w:rsid w:val="009A62EC"/>
    <w:rsid w:val="00A10987"/>
    <w:rsid w:val="00AD0D88"/>
    <w:rsid w:val="00AF00CB"/>
    <w:rsid w:val="00B12006"/>
    <w:rsid w:val="00B67D31"/>
    <w:rsid w:val="00C15ADF"/>
    <w:rsid w:val="00D12480"/>
    <w:rsid w:val="00DF4C6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2F54EFD"/>
  <w15:chartTrackingRefBased/>
  <w15:docId w15:val="{C12798D8-B0D5-4ACB-A21D-8CFB0E01383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C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iPriority="0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character" w:styleId="Hipervnculo">
    <w:name w:val="Hyperlink"/>
    <w:uiPriority w:val="99"/>
    <w:unhideWhenUsed/>
    <w:rsid w:val="00B12006"/>
    <w:rPr>
      <w:color w:val="0000FF"/>
      <w:u w:val="single"/>
    </w:rPr>
  </w:style>
  <w:style w:type="paragraph" w:styleId="Prrafodelista">
    <w:name w:val="List Paragraph"/>
    <w:basedOn w:val="Normal"/>
    <w:uiPriority w:val="34"/>
    <w:qFormat/>
    <w:rsid w:val="00B12006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es-ES" w:eastAsia="es-ES"/>
    </w:rPr>
  </w:style>
  <w:style w:type="character" w:styleId="Refdenotaalpie">
    <w:name w:val="footnote reference"/>
    <w:semiHidden/>
    <w:rsid w:val="00B12006"/>
    <w:rPr>
      <w:rFonts w:cs="Times New Roman"/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http://www.google.com.co/url?sa=t&amp;rct=j&amp;q=&amp;esrc=s&amp;frm=1&amp;source=web&amp;cd=1&amp;sqi=2&amp;ved=0CFkQFjAA&amp;url=http%3A%2F%2Fwww.ucsh.cl%2FUas%2Fincjs%2Fdownload.asp%3Fglb_cod_nodo%3D20071003143050%26hdd_nom_archivo%3DJorge%2520Baeza%2520-%2520Mundo%2520de%2520la%2520Vida%2520(aspectos%2520metodol%25F3gicos).pdf&amp;ei=SeevT82mG4bfgQf70KiYCQ&amp;usg=AFQjCNGyFi52PJ2LrtCenFGECXzViMcr7Q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2</Pages>
  <Words>732</Words>
  <Characters>4179</Characters>
  <Application>Microsoft Office Word</Application>
  <DocSecurity>0</DocSecurity>
  <Lines>34</Lines>
  <Paragraphs>9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4902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ANGELA</dc:creator>
  <cp:keywords/>
  <dc:description/>
  <cp:lastModifiedBy>ANGELA MARIA</cp:lastModifiedBy>
  <cp:revision>2</cp:revision>
  <dcterms:created xsi:type="dcterms:W3CDTF">2018-04-30T03:47:00Z</dcterms:created>
  <dcterms:modified xsi:type="dcterms:W3CDTF">2018-04-30T03:47:00Z</dcterms:modified>
</cp:coreProperties>
</file>