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color w:val="1F3864"/>
          <w:sz w:val="44"/>
        </w:rPr>
        <w:t>Order module — open questions</w:t>
      </w:r>
    </w:p>
    <w:p>
      <w:pPr>
        <w:spacing w:after="200"/>
      </w:pPr>
      <w:r>
        <w:rPr>
          <w:b w:val="0"/>
          <w:i w:val="0"/>
          <w:color w:val="606060"/>
          <w:sz w:val="21"/>
        </w:rPr>
        <w:t>Nine questions about the LINKZ Order Behaviour handover. Please answer in the yellow boxes and send the file back.</w:t>
      </w:r>
    </w:p>
    <w:tbl>
      <w:tblPr>
        <w:tblW w:w="9287" w:type="dxa"/>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1655"/>
        <w:gridCol w:w="7632"/>
      </w:tblGrid>
      <w:tr>
        <w:tc>
          <w:tcPr>
            <w:tcW w:type="dxa" w:w="1656"/>
            <w:tcMar>
              <w:top w:w="30" w:type="dxa"/>
              <w:left w:w="0" w:type="dxa"/>
              <w:bottom w:w="30" w:type="dxa"/>
              <w:right w:w="80" w:type="dxa"/>
            </w:tcMar>
          </w:tcPr>
          <w:p>
            <w:pPr>
              <w:spacing w:after="0"/>
            </w:pPr>
            <w:r/>
            <w:r>
              <w:rPr>
                <w:b/>
                <w:i w:val="0"/>
                <w:color w:val="1F3864"/>
                <w:sz w:val="20"/>
              </w:rPr>
              <w:t>To</w:t>
            </w:r>
          </w:p>
        </w:tc>
        <w:tc>
          <w:tcPr>
            <w:tcW w:type="dxa" w:w="7632"/>
            <w:tcMar>
              <w:top w:w="30" w:type="dxa"/>
              <w:left w:w="0" w:type="dxa"/>
              <w:bottom w:w="30" w:type="dxa"/>
              <w:right w:w="80" w:type="dxa"/>
            </w:tcMar>
          </w:tcPr>
          <w:p>
            <w:pPr>
              <w:spacing w:after="0"/>
            </w:pPr>
            <w:r/>
            <w:r>
              <w:rPr>
                <w:b w:val="0"/>
                <w:i w:val="0"/>
                <w:sz w:val="20"/>
              </w:rPr>
              <w:t>The author of the LINKZ Order Behaviour handover</w:t>
            </w:r>
          </w:p>
        </w:tc>
      </w:tr>
      <w:tr>
        <w:tc>
          <w:tcPr>
            <w:tcW w:type="dxa" w:w="1656"/>
            <w:tcMar>
              <w:top w:w="30" w:type="dxa"/>
              <w:left w:w="0" w:type="dxa"/>
              <w:bottom w:w="30" w:type="dxa"/>
              <w:right w:w="80" w:type="dxa"/>
            </w:tcMar>
          </w:tcPr>
          <w:p>
            <w:pPr>
              <w:spacing w:after="0"/>
            </w:pPr>
            <w:r/>
            <w:r>
              <w:rPr>
                <w:b/>
                <w:i w:val="0"/>
                <w:color w:val="1F3864"/>
                <w:sz w:val="20"/>
              </w:rPr>
              <w:t>From</w:t>
            </w:r>
          </w:p>
        </w:tc>
        <w:tc>
          <w:tcPr>
            <w:tcW w:type="dxa" w:w="7632"/>
            <w:tcMar>
              <w:top w:w="30" w:type="dxa"/>
              <w:left w:w="0" w:type="dxa"/>
              <w:bottom w:w="30" w:type="dxa"/>
              <w:right w:w="80" w:type="dxa"/>
            </w:tcMar>
          </w:tcPr>
          <w:p>
            <w:pPr>
              <w:spacing w:after="0"/>
            </w:pPr>
            <w:r/>
            <w:r>
              <w:rPr>
                <w:b w:val="0"/>
                <w:i w:val="0"/>
                <w:sz w:val="20"/>
              </w:rPr>
              <w:t>The team building the Order module in the LINKZ v4 prototype</w:t>
            </w:r>
          </w:p>
        </w:tc>
      </w:tr>
      <w:tr>
        <w:tc>
          <w:tcPr>
            <w:tcW w:type="dxa" w:w="1656"/>
            <w:tcMar>
              <w:top w:w="30" w:type="dxa"/>
              <w:left w:w="0" w:type="dxa"/>
              <w:bottom w:w="30" w:type="dxa"/>
              <w:right w:w="80" w:type="dxa"/>
            </w:tcMar>
          </w:tcPr>
          <w:p>
            <w:pPr>
              <w:spacing w:after="0"/>
            </w:pPr>
            <w:r/>
            <w:r>
              <w:rPr>
                <w:b/>
                <w:i w:val="0"/>
                <w:color w:val="1F3864"/>
                <w:sz w:val="20"/>
              </w:rPr>
              <w:t>Date sent</w:t>
            </w:r>
          </w:p>
        </w:tc>
        <w:tc>
          <w:tcPr>
            <w:tcW w:type="dxa" w:w="7632"/>
            <w:tcMar>
              <w:top w:w="30" w:type="dxa"/>
              <w:left w:w="0" w:type="dxa"/>
              <w:bottom w:w="30" w:type="dxa"/>
              <w:right w:w="80" w:type="dxa"/>
            </w:tcMar>
          </w:tcPr>
          <w:p>
            <w:pPr>
              <w:spacing w:after="0"/>
            </w:pPr>
            <w:r/>
            <w:r>
              <w:rPr>
                <w:b w:val="0"/>
                <w:i w:val="0"/>
                <w:sz w:val="20"/>
              </w:rPr>
              <w:t>……………………</w:t>
            </w:r>
          </w:p>
        </w:tc>
      </w:tr>
    </w:tbl>
    <w:p>
      <w:pPr>
        <w:spacing w:after="120"/>
      </w:pPr>
    </w:p>
    <w:p>
      <w:pPr>
        <w:pStyle w:val="Heading2"/>
      </w:pPr>
      <w:r>
        <w:t>How to answer this document</w:t>
      </w:r>
    </w:p>
    <w:p>
      <w:pPr>
        <w:spacing w:after="160"/>
      </w:pPr>
      <w:r>
        <w:rPr>
          <w:b w:val="0"/>
          <w:i w:val="0"/>
        </w:rPr>
        <w:t>You do not need the codebase, the prototype, or a Figma account. Everything each question refers to is quoted inside the question itself.</w:t>
      </w:r>
    </w:p>
    <w:p>
      <w:pPr>
        <w:pStyle w:val="ListNumber"/>
        <w:spacing w:after="120"/>
        <w:ind w:left="504"/>
      </w:pPr>
      <w:r>
        <w:rPr>
          <w:b/>
          <w:i w:val="0"/>
        </w:rPr>
        <w:t xml:space="preserve">Type into the yellow boxes. </w:t>
      </w:r>
      <w:r>
        <w:rPr>
          <w:b w:val="0"/>
          <w:i w:val="0"/>
        </w:rPr>
        <w:t xml:space="preserve">Every question is followed by a box headed </w:t>
      </w:r>
      <w:r>
        <w:rPr>
          <w:b/>
          <w:i w:val="0"/>
        </w:rPr>
        <w:t>YOUR ANSWER</w:t>
      </w:r>
      <w:r>
        <w:rPr>
          <w:b w:val="0"/>
          <w:i w:val="0"/>
        </w:rPr>
        <w:t>. Click inside it, delete the grey placeholder, and type. The box grows as you write.</w:t>
      </w:r>
    </w:p>
    <w:p>
      <w:pPr>
        <w:pStyle w:val="ListNumber"/>
        <w:spacing w:after="120"/>
        <w:ind w:left="504"/>
      </w:pPr>
      <w:r>
        <w:rPr>
          <w:b/>
          <w:i w:val="0"/>
        </w:rPr>
        <w:t xml:space="preserve">Tick a box by replacing </w:t>
      </w:r>
      <w:r>
        <w:rPr>
          <w:b/>
          <w:i w:val="0"/>
        </w:rPr>
        <w:t>☐</w:t>
      </w:r>
      <w:r>
        <w:rPr>
          <w:b/>
          <w:i w:val="0"/>
        </w:rPr>
        <w:t xml:space="preserve"> with an </w:t>
      </w:r>
      <w:r>
        <w:rPr>
          <w:b/>
          <w:i w:val="0"/>
        </w:rPr>
        <w:t>X</w:t>
      </w:r>
      <w:r>
        <w:rPr>
          <w:b w:val="0"/>
          <w:i w:val="0"/>
        </w:rPr>
        <w:t>. Click just to the right of the ☐, press Backspace once, and type a capital X. If none of the options fit, tick nothing and write what should happen instead.</w:t>
      </w:r>
    </w:p>
    <w:p>
      <w:pPr>
        <w:pStyle w:val="ListNumber"/>
        <w:spacing w:after="120"/>
        <w:ind w:left="504"/>
      </w:pPr>
      <w:r>
        <w:rPr>
          <w:b/>
          <w:i w:val="0"/>
        </w:rPr>
        <w:t xml:space="preserve">Please do not skip any question. </w:t>
      </w:r>
      <w:r>
        <w:rPr>
          <w:b w:val="0"/>
          <w:i w:val="0"/>
        </w:rPr>
        <w:t xml:space="preserve">If one does not matter to you, write </w:t>
      </w:r>
      <w:r>
        <w:rPr>
          <w:b w:val="0"/>
          <w:i/>
        </w:rPr>
        <w:t>no preference</w:t>
      </w:r>
      <w:r>
        <w:rPr>
          <w:b w:val="0"/>
          <w:i w:val="0"/>
        </w:rPr>
        <w:t xml:space="preserve"> — that is a genuinely useful answer and we will choose a sensible default.</w:t>
      </w:r>
    </w:p>
    <w:p>
      <w:pPr>
        <w:spacing w:before="120" w:after="80"/>
      </w:pPr>
      <w:r>
        <w:rPr>
          <w:b/>
          <w:i w:val="0"/>
        </w:rPr>
        <w:t>Four of the nine block work that is otherwise ready to start</w:t>
      </w:r>
      <w:r>
        <w:rPr>
          <w:b w:val="0"/>
          <w:i w:val="0"/>
        </w:rPr>
        <w:t xml:space="preserve"> — Q1 to Q4, marked </w:t>
      </w:r>
      <w:r>
        <w:rPr>
          <w:b/>
          <w:i w:val="0"/>
        </w:rPr>
        <w:t>BLOCKING</w:t>
      </w:r>
      <w:r>
        <w:rPr>
          <w:b w:val="0"/>
          <w:i w:val="0"/>
        </w:rPr>
        <w:t>. If you are short of time, answer those four first and send them back; the rest can follow. The other five are not blocking, but each one is currently a guess on our side, so a one-line confirmation is worth having.</w:t>
      </w:r>
    </w:p>
    <w:p>
      <w:pPr>
        <w:spacing w:after="40"/>
      </w:pPr>
    </w:p>
    <w:p>
      <w:pPr>
        <w:pStyle w:val="Heading2"/>
      </w:pPr>
      <w:r>
        <w:t>The nine questions at a glance</w:t>
      </w:r>
    </w:p>
    <w:tbl>
      <w:tblPr>
        <w:tblStyle w:val="TableGrid"/>
        <w:tblW w:w="8784" w:type="dxa"/>
        <w:jc w:val="left"/>
        <w:tblLayout w:type="fixed"/>
        <w:tblLook w:firstColumn="1" w:firstRow="1" w:lastColumn="0" w:lastRow="0" w:noHBand="0" w:noVBand="1" w:val="04A0"/>
      </w:tblPr>
      <w:tblGrid>
        <w:gridCol w:w="720"/>
        <w:gridCol w:w="5616"/>
        <w:gridCol w:w="936"/>
        <w:gridCol w:w="1512"/>
      </w:tblGrid>
      <w:tr>
        <w:trPr>
          <w:tblHeader/>
          <w:cantSplit/>
        </w:trPr>
        <w:tc>
          <w:tcPr>
            <w:tcW w:type="dxa" w:w="720"/>
            <w:shd w:val="clear" w:color="auto" w:fill="E8EDF5"/>
            <w:tcMar>
              <w:top w:w="70" w:type="dxa"/>
              <w:left w:w="140" w:type="dxa"/>
              <w:bottom w:w="70" w:type="dxa"/>
              <w:right w:w="140" w:type="dxa"/>
            </w:tcMar>
          </w:tcPr>
          <w:p>
            <w:pPr>
              <w:keepNext/>
              <w:spacing w:after="0"/>
            </w:pPr>
            <w:r/>
            <w:r>
              <w:rPr>
                <w:b/>
                <w:i w:val="0"/>
                <w:color w:val="1F3864"/>
                <w:sz w:val="20"/>
              </w:rPr>
              <w:t>#</w:t>
            </w:r>
          </w:p>
        </w:tc>
        <w:tc>
          <w:tcPr>
            <w:tcW w:type="dxa" w:w="5616"/>
            <w:shd w:val="clear" w:color="auto" w:fill="E8EDF5"/>
            <w:tcMar>
              <w:top w:w="70" w:type="dxa"/>
              <w:left w:w="140" w:type="dxa"/>
              <w:bottom w:w="70" w:type="dxa"/>
              <w:right w:w="140" w:type="dxa"/>
            </w:tcMar>
          </w:tcPr>
          <w:p>
            <w:pPr>
              <w:keepNext/>
              <w:spacing w:after="0"/>
            </w:pPr>
            <w:r/>
            <w:r>
              <w:rPr>
                <w:b/>
                <w:i w:val="0"/>
                <w:color w:val="1F3864"/>
                <w:sz w:val="20"/>
              </w:rPr>
              <w:t>Question</w:t>
            </w:r>
          </w:p>
        </w:tc>
        <w:tc>
          <w:tcPr>
            <w:tcW w:type="dxa" w:w="936"/>
            <w:shd w:val="clear" w:color="auto" w:fill="E8EDF5"/>
            <w:tcMar>
              <w:top w:w="70" w:type="dxa"/>
              <w:left w:w="140" w:type="dxa"/>
              <w:bottom w:w="70" w:type="dxa"/>
              <w:right w:w="140" w:type="dxa"/>
            </w:tcMar>
          </w:tcPr>
          <w:p>
            <w:pPr>
              <w:keepNext/>
              <w:spacing w:after="0"/>
            </w:pPr>
            <w:r/>
            <w:r>
              <w:rPr>
                <w:b/>
                <w:i w:val="0"/>
                <w:color w:val="1F3864"/>
                <w:sz w:val="20"/>
              </w:rPr>
              <w:t>Spec</w:t>
            </w:r>
          </w:p>
        </w:tc>
        <w:tc>
          <w:tcPr>
            <w:tcW w:type="dxa" w:w="1512"/>
            <w:shd w:val="clear" w:color="auto" w:fill="E8EDF5"/>
            <w:tcMar>
              <w:top w:w="70" w:type="dxa"/>
              <w:left w:w="140" w:type="dxa"/>
              <w:bottom w:w="70" w:type="dxa"/>
              <w:right w:w="140" w:type="dxa"/>
            </w:tcMar>
          </w:tcPr>
          <w:p>
            <w:pPr>
              <w:keepNext/>
              <w:spacing w:after="0"/>
            </w:pPr>
            <w:r/>
            <w:r>
              <w:rPr>
                <w:b/>
                <w:i w:val="0"/>
                <w:color w:val="1F3864"/>
                <w:sz w:val="20"/>
              </w:rPr>
              <w:t>Blocking</w:t>
            </w:r>
          </w:p>
        </w:tc>
      </w:tr>
      <w:tr>
        <w:trPr>
          <w:cantSplit/>
        </w:trPr>
        <w:tc>
          <w:tcPr>
            <w:tcW w:type="dxa" w:w="720"/>
            <w:tcMar>
              <w:top w:w="60" w:type="dxa"/>
              <w:left w:w="140" w:type="dxa"/>
              <w:bottom w:w="60" w:type="dxa"/>
              <w:right w:w="140" w:type="dxa"/>
            </w:tcMar>
          </w:tcPr>
          <w:p>
            <w:pPr>
              <w:spacing w:after="0"/>
            </w:pPr>
            <w:r/>
            <w:r>
              <w:rPr>
                <w:b w:val="0"/>
                <w:i w:val="0"/>
                <w:sz w:val="20"/>
              </w:rPr>
              <w:t>Q1</w:t>
            </w:r>
          </w:p>
        </w:tc>
        <w:tc>
          <w:tcPr>
            <w:tcW w:type="dxa" w:w="5616"/>
            <w:tcMar>
              <w:top w:w="60" w:type="dxa"/>
              <w:left w:w="140" w:type="dxa"/>
              <w:bottom w:w="60" w:type="dxa"/>
              <w:right w:w="140" w:type="dxa"/>
            </w:tcMar>
          </w:tcPr>
          <w:p>
            <w:pPr>
              <w:spacing w:after="0"/>
            </w:pPr>
            <w:r/>
            <w:r>
              <w:rPr>
                <w:b w:val="0"/>
                <w:i w:val="0"/>
                <w:sz w:val="20"/>
              </w:rPr>
              <w:t>What amount should the even-out closing invoice carry?</w:t>
            </w:r>
          </w:p>
        </w:tc>
        <w:tc>
          <w:tcPr>
            <w:tcW w:type="dxa" w:w="936"/>
            <w:tcMar>
              <w:top w:w="60" w:type="dxa"/>
              <w:left w:w="140" w:type="dxa"/>
              <w:bottom w:w="60" w:type="dxa"/>
              <w:right w:w="140" w:type="dxa"/>
            </w:tcMar>
          </w:tcPr>
          <w:p>
            <w:pPr>
              <w:spacing w:after="0"/>
            </w:pPr>
            <w:r/>
            <w:r>
              <w:rPr>
                <w:b w:val="0"/>
                <w:i w:val="0"/>
                <w:sz w:val="20"/>
              </w:rPr>
              <w:t>§5.5</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Q2</w:t>
            </w:r>
          </w:p>
        </w:tc>
        <w:tc>
          <w:tcPr>
            <w:tcW w:type="dxa" w:w="5616"/>
            <w:tcMar>
              <w:top w:w="60" w:type="dxa"/>
              <w:left w:w="140" w:type="dxa"/>
              <w:bottom w:w="60" w:type="dxa"/>
              <w:right w:w="140" w:type="dxa"/>
            </w:tcMar>
          </w:tcPr>
          <w:p>
            <w:pPr>
              <w:spacing w:after="0"/>
            </w:pPr>
            <w:r/>
            <w:r>
              <w:rPr>
                <w:b w:val="0"/>
                <w:i w:val="0"/>
                <w:sz w:val="20"/>
              </w:rPr>
              <w:t>Are there four settlement statuses or five?</w:t>
            </w:r>
          </w:p>
        </w:tc>
        <w:tc>
          <w:tcPr>
            <w:tcW w:type="dxa" w:w="936"/>
            <w:tcMar>
              <w:top w:w="60" w:type="dxa"/>
              <w:left w:w="140" w:type="dxa"/>
              <w:bottom w:w="60" w:type="dxa"/>
              <w:right w:w="140" w:type="dxa"/>
            </w:tcMar>
          </w:tcPr>
          <w:p>
            <w:pPr>
              <w:spacing w:after="0"/>
            </w:pPr>
            <w:r/>
            <w:r>
              <w:rPr>
                <w:b w:val="0"/>
                <w:i w:val="0"/>
                <w:sz w:val="20"/>
              </w:rPr>
              <w:t>§9</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Q3</w:t>
            </w:r>
          </w:p>
        </w:tc>
        <w:tc>
          <w:tcPr>
            <w:tcW w:type="dxa" w:w="5616"/>
            <w:tcMar>
              <w:top w:w="60" w:type="dxa"/>
              <w:left w:w="140" w:type="dxa"/>
              <w:bottom w:w="60" w:type="dxa"/>
              <w:right w:w="140" w:type="dxa"/>
            </w:tcMar>
          </w:tcPr>
          <w:p>
            <w:pPr>
              <w:spacing w:after="0"/>
            </w:pPr>
            <w:r/>
            <w:r>
              <w:rPr>
                <w:b w:val="0"/>
                <w:i w:val="0"/>
                <w:sz w:val="20"/>
              </w:rPr>
              <w:t>Where do the Settlement and Payments rows come from?</w:t>
            </w:r>
          </w:p>
        </w:tc>
        <w:tc>
          <w:tcPr>
            <w:tcW w:type="dxa" w:w="936"/>
            <w:tcMar>
              <w:top w:w="60" w:type="dxa"/>
              <w:left w:w="140" w:type="dxa"/>
              <w:bottom w:w="60" w:type="dxa"/>
              <w:right w:w="140" w:type="dxa"/>
            </w:tcMar>
          </w:tcPr>
          <w:p>
            <w:pPr>
              <w:spacing w:after="0"/>
            </w:pPr>
            <w:r/>
            <w:r>
              <w:rPr>
                <w:b w:val="0"/>
                <w:i w:val="0"/>
                <w:sz w:val="20"/>
              </w:rPr>
              <w:t>§9</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Q4</w:t>
            </w:r>
          </w:p>
        </w:tc>
        <w:tc>
          <w:tcPr>
            <w:tcW w:type="dxa" w:w="5616"/>
            <w:tcMar>
              <w:top w:w="60" w:type="dxa"/>
              <w:left w:w="140" w:type="dxa"/>
              <w:bottom w:w="60" w:type="dxa"/>
              <w:right w:w="140" w:type="dxa"/>
            </w:tcMar>
          </w:tcPr>
          <w:p>
            <w:pPr>
              <w:spacing w:after="0"/>
            </w:pPr>
            <w:r/>
            <w:r>
              <w:rPr>
                <w:b w:val="0"/>
                <w:i w:val="0"/>
                <w:sz w:val="20"/>
              </w:rPr>
              <w:t>Should the order list really start empty?</w:t>
            </w:r>
          </w:p>
        </w:tc>
        <w:tc>
          <w:tcPr>
            <w:tcW w:type="dxa" w:w="936"/>
            <w:tcMar>
              <w:top w:w="60" w:type="dxa"/>
              <w:left w:w="140" w:type="dxa"/>
              <w:bottom w:w="60" w:type="dxa"/>
              <w:right w:w="140" w:type="dxa"/>
            </w:tcMar>
          </w:tcPr>
          <w:p>
            <w:pPr>
              <w:spacing w:after="0"/>
            </w:pPr>
            <w:r/>
            <w:r>
              <w:rPr>
                <w:b w:val="0"/>
                <w:i w:val="0"/>
                <w:sz w:val="20"/>
              </w:rPr>
              <w:t>§4</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Q5</w:t>
            </w:r>
          </w:p>
        </w:tc>
        <w:tc>
          <w:tcPr>
            <w:tcW w:type="dxa" w:w="5616"/>
            <w:tcMar>
              <w:top w:w="60" w:type="dxa"/>
              <w:left w:w="140" w:type="dxa"/>
              <w:bottom w:w="60" w:type="dxa"/>
              <w:right w:w="140" w:type="dxa"/>
            </w:tcMar>
          </w:tcPr>
          <w:p>
            <w:pPr>
              <w:spacing w:after="0"/>
            </w:pPr>
            <w:r/>
            <w:r>
              <w:rPr>
                <w:b w:val="0"/>
                <w:i w:val="0"/>
                <w:sz w:val="20"/>
              </w:rPr>
              <w:t>What does the Status filter do on the Payments tab?</w:t>
            </w:r>
          </w:p>
        </w:tc>
        <w:tc>
          <w:tcPr>
            <w:tcW w:type="dxa" w:w="936"/>
            <w:tcMar>
              <w:top w:w="60" w:type="dxa"/>
              <w:left w:w="140" w:type="dxa"/>
              <w:bottom w:w="60" w:type="dxa"/>
              <w:right w:w="140" w:type="dxa"/>
            </w:tcMar>
          </w:tcPr>
          <w:p>
            <w:pPr>
              <w:spacing w:after="0"/>
            </w:pPr>
            <w:r/>
            <w:r>
              <w:rPr>
                <w:b w:val="0"/>
                <w:i w:val="0"/>
                <w:sz w:val="20"/>
              </w:rPr>
              <w:t>§9</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Q6</w:t>
            </w:r>
          </w:p>
        </w:tc>
        <w:tc>
          <w:tcPr>
            <w:tcW w:type="dxa" w:w="5616"/>
            <w:tcMar>
              <w:top w:w="60" w:type="dxa"/>
              <w:left w:w="140" w:type="dxa"/>
              <w:bottom w:w="60" w:type="dxa"/>
              <w:right w:w="140" w:type="dxa"/>
            </w:tcMar>
          </w:tcPr>
          <w:p>
            <w:pPr>
              <w:spacing w:after="0"/>
            </w:pPr>
            <w:r/>
            <w:r>
              <w:rPr>
                <w:b w:val="0"/>
                <w:i w:val="0"/>
                <w:sz w:val="20"/>
              </w:rPr>
              <w:t>Should the date range actually filter the table?</w:t>
            </w:r>
          </w:p>
        </w:tc>
        <w:tc>
          <w:tcPr>
            <w:tcW w:type="dxa" w:w="936"/>
            <w:tcMar>
              <w:top w:w="60" w:type="dxa"/>
              <w:left w:w="140" w:type="dxa"/>
              <w:bottom w:w="60" w:type="dxa"/>
              <w:right w:w="140" w:type="dxa"/>
            </w:tcMar>
          </w:tcPr>
          <w:p>
            <w:pPr>
              <w:spacing w:after="0"/>
            </w:pPr>
            <w:r/>
            <w:r>
              <w:rPr>
                <w:b w:val="0"/>
                <w:i w:val="0"/>
                <w:sz w:val="20"/>
              </w:rPr>
              <w:t>§9</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Q7</w:t>
            </w:r>
          </w:p>
        </w:tc>
        <w:tc>
          <w:tcPr>
            <w:tcW w:type="dxa" w:w="5616"/>
            <w:tcMar>
              <w:top w:w="60" w:type="dxa"/>
              <w:left w:w="140" w:type="dxa"/>
              <w:bottom w:w="60" w:type="dxa"/>
              <w:right w:w="140" w:type="dxa"/>
            </w:tcMar>
          </w:tcPr>
          <w:p>
            <w:pPr>
              <w:spacing w:after="0"/>
            </w:pPr>
            <w:r/>
            <w:r>
              <w:rPr>
                <w:b w:val="0"/>
                <w:i w:val="0"/>
                <w:sz w:val="20"/>
              </w:rPr>
              <w:t>Can a purchase invoice only ever be settled at checkout?</w:t>
            </w:r>
          </w:p>
        </w:tc>
        <w:tc>
          <w:tcPr>
            <w:tcW w:type="dxa" w:w="936"/>
            <w:tcMar>
              <w:top w:w="60" w:type="dxa"/>
              <w:left w:w="140" w:type="dxa"/>
              <w:bottom w:w="60" w:type="dxa"/>
              <w:right w:w="140" w:type="dxa"/>
            </w:tcMar>
          </w:tcPr>
          <w:p>
            <w:pPr>
              <w:spacing w:after="0"/>
            </w:pPr>
            <w:r/>
            <w:r>
              <w:rPr>
                <w:b w:val="0"/>
                <w:i w:val="0"/>
                <w:sz w:val="20"/>
              </w:rPr>
              <w:t>§6</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Q8</w:t>
            </w:r>
          </w:p>
        </w:tc>
        <w:tc>
          <w:tcPr>
            <w:tcW w:type="dxa" w:w="5616"/>
            <w:tcMar>
              <w:top w:w="60" w:type="dxa"/>
              <w:left w:w="140" w:type="dxa"/>
              <w:bottom w:w="60" w:type="dxa"/>
              <w:right w:w="140" w:type="dxa"/>
            </w:tcMar>
          </w:tcPr>
          <w:p>
            <w:pPr>
              <w:spacing w:after="0"/>
            </w:pPr>
            <w:r/>
            <w:r>
              <w:rPr>
                <w:b w:val="0"/>
                <w:i w:val="0"/>
                <w:sz w:val="20"/>
              </w:rPr>
              <w:t>Do line items stay editable after money is collected?</w:t>
            </w:r>
          </w:p>
        </w:tc>
        <w:tc>
          <w:tcPr>
            <w:tcW w:type="dxa" w:w="936"/>
            <w:tcMar>
              <w:top w:w="60" w:type="dxa"/>
              <w:left w:w="140" w:type="dxa"/>
              <w:bottom w:w="60" w:type="dxa"/>
              <w:right w:w="140" w:type="dxa"/>
            </w:tcMar>
          </w:tcPr>
          <w:p>
            <w:pPr>
              <w:spacing w:after="0"/>
            </w:pPr>
            <w:r/>
            <w:r>
              <w:rPr>
                <w:b w:val="0"/>
                <w:i w:val="0"/>
                <w:sz w:val="20"/>
              </w:rPr>
              <w:t>§5.2</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Q9</w:t>
            </w:r>
          </w:p>
        </w:tc>
        <w:tc>
          <w:tcPr>
            <w:tcW w:type="dxa" w:w="5616"/>
            <w:tcMar>
              <w:top w:w="60" w:type="dxa"/>
              <w:left w:w="140" w:type="dxa"/>
              <w:bottom w:w="60" w:type="dxa"/>
              <w:right w:w="140" w:type="dxa"/>
            </w:tcMar>
          </w:tcPr>
          <w:p>
            <w:pPr>
              <w:spacing w:after="0"/>
            </w:pPr>
            <w:r/>
            <w:r>
              <w:rPr>
                <w:b w:val="0"/>
                <w:i w:val="0"/>
                <w:sz w:val="20"/>
              </w:rPr>
              <w:t>Order Report design references (a correction to confirm)</w:t>
            </w:r>
          </w:p>
        </w:tc>
        <w:tc>
          <w:tcPr>
            <w:tcW w:type="dxa" w:w="936"/>
            <w:tcMar>
              <w:top w:w="60" w:type="dxa"/>
              <w:left w:w="140" w:type="dxa"/>
              <w:bottom w:w="60" w:type="dxa"/>
              <w:right w:w="140" w:type="dxa"/>
            </w:tcMar>
          </w:tcPr>
          <w:p>
            <w:pPr>
              <w:spacing w:after="0"/>
            </w:pPr>
            <w:r/>
            <w:r>
              <w:rPr>
                <w:b w:val="0"/>
                <w:i w:val="0"/>
                <w:sz w:val="20"/>
              </w:rPr>
              <w:t>§9</w:t>
            </w:r>
          </w:p>
        </w:tc>
        <w:tc>
          <w:tcPr>
            <w:tcW w:type="dxa" w:w="1512"/>
            <w:tcMar>
              <w:top w:w="60" w:type="dxa"/>
              <w:left w:w="140" w:type="dxa"/>
              <w:bottom w:w="60" w:type="dxa"/>
              <w:right w:w="140" w:type="dxa"/>
            </w:tcMar>
          </w:tcPr>
          <w:p>
            <w:pPr>
              <w:spacing w:after="0"/>
            </w:pPr>
            <w:r/>
            <w:r>
              <w:rPr>
                <w:b w:val="0"/>
                <w:i w:val="0"/>
                <w:sz w:val="20"/>
              </w:rPr>
              <w:t>No</w:t>
            </w:r>
          </w:p>
        </w:tc>
      </w:tr>
    </w:tbl>
    <w:p>
      <w:pPr>
        <w:spacing w:after="80"/>
      </w:pPr>
    </w:p>
    <w:p>
      <w:pPr>
        <w:spacing w:after="0"/>
      </w:pPr>
    </w:p>
    <w:p>
      <w:pPr>
        <w:pBdr>
          <w:bottom w:val="single" w:sz="6" w:space="4" w:color="D0D0D0"/>
        </w:pBdr>
        <w:spacing w:before="40" w:after="40"/>
      </w:pPr>
    </w:p>
    <w:p>
      <w:pPr>
        <w:pStyle w:val="Heading2"/>
      </w:pPr>
      <w:r>
        <w:rPr>
          <w:b/>
          <w:i w:val="0"/>
          <w:color w:val="1F3864"/>
          <w:sz w:val="28"/>
        </w:rPr>
        <w:t>Q1 — What amount should the even-out closing invoice carry?</w:t>
      </w:r>
    </w:p>
    <w:p>
      <w:pPr>
        <w:spacing w:after="200"/>
      </w:pPr>
      <w:r>
        <w:rPr>
          <w:b w:val="0"/>
          <w:i w:val="0"/>
          <w:color w:val="606060"/>
          <w:sz w:val="20"/>
        </w:rPr>
        <w:t xml:space="preserve">Spec reference: </w:t>
      </w:r>
      <w:r>
        <w:rPr>
          <w:b/>
          <w:i w:val="0"/>
          <w:color w:val="606060"/>
          <w:sz w:val="20"/>
        </w:rPr>
        <w:t>§5.5</w:t>
      </w:r>
      <w:r>
        <w:rPr>
          <w:b w:val="0"/>
          <w:i w:val="0"/>
          <w:sz w:val="20"/>
        </w:rPr>
        <w:t xml:space="preserve">     </w:t>
      </w:r>
      <w:r>
        <w:rPr>
          <w:b/>
          <w:i w:val="0"/>
          <w:color w:val="C00000"/>
          <w:sz w:val="20"/>
        </w:rPr>
        <w:t>BLOCKING</w:t>
      </w:r>
    </w:p>
    <w:p>
      <w:pPr>
        <w:spacing w:after="160"/>
      </w:pPr>
      <w:r>
        <w:rPr>
          <w:b/>
          <w:i w:val="0"/>
        </w:rPr>
        <w:t>This is your own open question in the handover, still unanswered.</w:t>
      </w:r>
      <w:r>
        <w:rPr>
          <w:b w:val="0"/>
          <w:i w:val="0"/>
        </w:rPr>
        <w:t xml:space="preserve"> It blocks the Send Order dialogs.</w:t>
      </w:r>
    </w:p>
    <w:p>
      <w:pPr>
        <w:spacing w:after="160"/>
      </w:pPr>
      <w:r>
        <w:rPr>
          <w:b/>
          <w:i w:val="0"/>
        </w:rPr>
        <w:t xml:space="preserve">The situation. </w:t>
      </w:r>
      <w:r>
        <w:rPr>
          <w:b w:val="0"/>
          <w:i w:val="0"/>
        </w:rPr>
        <w:t xml:space="preserve">An order is worth IDR 5.000.000. An invoice for IDR 3.000.000 has been raised and paid. The user then edits the order down to IDR 3.000.000 — exactly what was already paid — and sends it. The spec calls this the </w:t>
      </w:r>
      <w:r>
        <w:rPr>
          <w:b w:val="0"/>
          <w:i/>
        </w:rPr>
        <w:t>even-out</w:t>
      </w:r>
      <w:r>
        <w:rPr>
          <w:b w:val="0"/>
          <w:i w:val="0"/>
        </w:rPr>
        <w:t xml:space="preserve"> send: it commits the adjustment, issues a closing invoice, and completes the order.</w:t>
      </w:r>
    </w:p>
    <w:p>
      <w:pPr>
        <w:spacing w:after="160"/>
      </w:pPr>
      <w:r>
        <w:rPr>
          <w:b/>
          <w:i w:val="0"/>
        </w:rPr>
        <w:t xml:space="preserve">The problem. </w:t>
      </w:r>
      <w:r>
        <w:rPr>
          <w:b w:val="0"/>
          <w:i w:val="0"/>
        </w:rPr>
        <w:t xml:space="preserve">The paid invoice already covers the whole adjusted total, so there is nothing left to bill. The closing invoice currently comes out at </w:t>
      </w:r>
      <w:r>
        <w:rPr>
          <w:b/>
          <w:i w:val="0"/>
        </w:rPr>
        <w:t>IDR 0,00</w:t>
      </w:r>
      <w:r>
        <w:rPr>
          <w:b w:val="0"/>
          <w:i w:val="0"/>
        </w:rPr>
        <w:t>. Making it non-zero would mean going back and changing the earlier IDR 3.000.000 invoice, which contradicts §3.4 of your own spec:</w:t>
      </w:r>
    </w:p>
    <w:p>
      <w:pPr>
        <w:pBdr>
          <w:left w:val="single" w:sz="18" w:space="4" w:color="9DB2CE"/>
        </w:pBdr>
        <w:shd w:val="clear" w:color="auto" w:fill="F2F5FA"/>
        <w:spacing w:before="120" w:after="200"/>
        <w:ind w:left="403" w:right="288"/>
      </w:pPr>
      <w:r>
        <w:rPr>
          <w:b w:val="0"/>
          <w:i/>
          <w:color w:val="606060"/>
        </w:rPr>
        <w:t>An invoice row records the state at the moment it was issued and never changes afterwards, except for its status.</w:t>
      </w:r>
    </w:p>
    <w:p>
      <w:pPr>
        <w:spacing w:after="160"/>
      </w:pPr>
      <w:r>
        <w:rPr>
          <w:b/>
          <w:i w:val="0"/>
        </w:rPr>
        <w:t>Options as we see them:</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A — Keep it at IDR 0,00.</w:t>
      </w:r>
      <w:r>
        <w:rPr>
          <w:b w:val="0"/>
          <w:i w:val="0"/>
        </w:rPr>
        <w:t xml:space="preserve"> The closing invoice acts as a marker that the order was evened out and closed. Invoice history stays untouched.</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Do not issue a closing invoice at all</w:t>
      </w:r>
      <w:r>
        <w:rPr>
          <w:b w:val="0"/>
          <w:i w:val="0"/>
        </w:rPr>
        <w:t xml:space="preserve"> on an even-out send. Just commit the adjustment and complete the order.</w:t>
      </w:r>
    </w:p>
    <w:p>
      <w:pPr>
        <w:spacing w:after="100"/>
        <w:ind w:left="461" w:hanging="461"/>
      </w:pPr>
      <w:r>
        <w:rPr>
          <w:rFonts w:ascii="Segoe UI Symbol" w:hAnsi="Segoe UI Symbol" w:eastAsia="Segoe UI Symbol"/>
          <w:b w:val="0"/>
          <w:i w:val="0"/>
          <w:sz w:val="26"/>
        </w:rPr>
        <w:t>☐</w:t>
      </w:r>
      <w:r>
        <w:rPr>
          <w:b w:val="0"/>
          <w:i w:val="0"/>
        </w:rPr>
        <w:t xml:space="preserve">   </w:t>
      </w:r>
      <w:r>
        <w:rPr>
          <w:b/>
          <w:i w:val="0"/>
        </w:rPr>
        <w:t>C — Something else</w:t>
      </w:r>
      <w:r>
        <w:rPr>
          <w:b w:val="0"/>
          <w:i w:val="0"/>
        </w:rPr>
        <w:t xml:space="preserve"> — describe it below, including which existing invoice may be changed after the fact and how that squares with §3.4.</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A - keep it at IDR 0,00.</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On send, a new invoice is created for IDR 0,00, its status is set to Paid, and the order is marked Complete.</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This keeps the rule that every Send raises an invoice, so the invoice table stays a complete record of what was sent, and it leaves the earlier invoices untouched as §3.4 requires.</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Q2 — Are there four settlement statuses or five?</w:t>
      </w:r>
    </w:p>
    <w:p>
      <w:pPr>
        <w:spacing w:after="200"/>
      </w:pPr>
      <w:r>
        <w:rPr>
          <w:b w:val="0"/>
          <w:i w:val="0"/>
          <w:color w:val="606060"/>
          <w:sz w:val="20"/>
        </w:rPr>
        <w:t xml:space="preserve">Spec reference: </w:t>
      </w:r>
      <w:r>
        <w:rPr>
          <w:b/>
          <w:i w:val="0"/>
          <w:color w:val="606060"/>
          <w:sz w:val="20"/>
        </w:rPr>
        <w:t>§9</w:t>
      </w:r>
      <w:r>
        <w:rPr>
          <w:b w:val="0"/>
          <w:i w:val="0"/>
          <w:sz w:val="20"/>
        </w:rPr>
        <w:t xml:space="preserve">     </w:t>
      </w:r>
      <w:r>
        <w:rPr>
          <w:b/>
          <w:i w:val="0"/>
          <w:color w:val="C00000"/>
          <w:sz w:val="20"/>
        </w:rPr>
        <w:t>BLOCKING</w:t>
      </w:r>
    </w:p>
    <w:p>
      <w:pPr>
        <w:spacing w:after="160"/>
      </w:pPr>
      <w:r>
        <w:rPr>
          <w:b/>
          <w:i w:val="0"/>
        </w:rPr>
        <w:t xml:space="preserve">The conflict. </w:t>
      </w:r>
      <w:r>
        <w:rPr>
          <w:b w:val="0"/>
          <w:i w:val="0"/>
        </w:rPr>
        <w:t xml:space="preserve">Your note on the Order Report page lists </w:t>
      </w:r>
      <w:r>
        <w:rPr>
          <w:b/>
          <w:i w:val="0"/>
        </w:rPr>
        <w:t>five</w:t>
      </w:r>
      <w:r>
        <w:rPr>
          <w:b w:val="0"/>
          <w:i w:val="0"/>
        </w:rPr>
        <w:t xml:space="preserve"> conditions:</w:t>
      </w:r>
    </w:p>
    <w:tbl>
      <w:tblPr>
        <w:tblStyle w:val="TableGrid"/>
        <w:tblW w:w="9216" w:type="dxa"/>
        <w:jc w:val="left"/>
        <w:tblLayout w:type="fixed"/>
        <w:tblLook w:firstColumn="1" w:firstRow="1" w:lastColumn="0" w:lastRow="0" w:noHBand="0" w:noVBand="1" w:val="04A0"/>
      </w:tblPr>
      <w:tblGrid>
        <w:gridCol w:w="5760"/>
        <w:gridCol w:w="3456"/>
      </w:tblGrid>
      <w:tr>
        <w:trPr>
          <w:tblHeader/>
          <w:cantSplit/>
        </w:trPr>
        <w:tc>
          <w:tcPr>
            <w:tcW w:type="dxa" w:w="5760"/>
            <w:shd w:val="clear" w:color="auto" w:fill="E8EDF5"/>
            <w:tcMar>
              <w:top w:w="70" w:type="dxa"/>
              <w:left w:w="140" w:type="dxa"/>
              <w:bottom w:w="70" w:type="dxa"/>
              <w:right w:w="140" w:type="dxa"/>
            </w:tcMar>
          </w:tcPr>
          <w:p>
            <w:pPr>
              <w:keepNext/>
              <w:spacing w:after="0"/>
            </w:pPr>
            <w:r/>
            <w:r>
              <w:rPr>
                <w:b/>
                <w:i w:val="0"/>
                <w:color w:val="1F3864"/>
                <w:sz w:val="20"/>
              </w:rPr>
              <w:t>Condition (as written in your note)</w:t>
            </w:r>
          </w:p>
        </w:tc>
        <w:tc>
          <w:tcPr>
            <w:tcW w:type="dxa" w:w="3456"/>
            <w:shd w:val="clear" w:color="auto" w:fill="E8EDF5"/>
            <w:tcMar>
              <w:top w:w="70" w:type="dxa"/>
              <w:left w:w="140" w:type="dxa"/>
              <w:bottom w:w="70" w:type="dxa"/>
              <w:right w:w="140" w:type="dxa"/>
            </w:tcMar>
          </w:tcPr>
          <w:p>
            <w:pPr>
              <w:keepNext/>
              <w:spacing w:after="0"/>
            </w:pPr>
            <w:r/>
            <w:r>
              <w:rPr>
                <w:b/>
                <w:i w:val="0"/>
                <w:color w:val="1F3864"/>
                <w:sz w:val="20"/>
              </w:rPr>
              <w:t>Status named in the note</w:t>
            </w:r>
          </w:p>
        </w:tc>
      </w:tr>
      <w:tr>
        <w:trPr>
          <w:cantSplit/>
        </w:trPr>
        <w:tc>
          <w:tcPr>
            <w:tcW w:type="dxa" w:w="5760"/>
            <w:tcMar>
              <w:top w:w="60" w:type="dxa"/>
              <w:left w:w="140" w:type="dxa"/>
              <w:bottom w:w="60" w:type="dxa"/>
              <w:right w:w="140" w:type="dxa"/>
            </w:tcMar>
          </w:tcPr>
          <w:p>
            <w:pPr>
              <w:spacing w:after="0"/>
            </w:pPr>
            <w:r/>
            <w:r>
              <w:rPr>
                <w:b w:val="0"/>
                <w:i w:val="0"/>
                <w:sz w:val="20"/>
              </w:rPr>
              <w:t>Sudah paid tapi belum masuk excel</w:t>
            </w:r>
          </w:p>
        </w:tc>
        <w:tc>
          <w:tcPr>
            <w:tcW w:type="dxa" w:w="3456"/>
            <w:tcMar>
              <w:top w:w="60" w:type="dxa"/>
              <w:left w:w="140" w:type="dxa"/>
              <w:bottom w:w="60" w:type="dxa"/>
              <w:right w:w="140" w:type="dxa"/>
            </w:tcMar>
          </w:tcPr>
          <w:p>
            <w:pPr>
              <w:spacing w:after="0"/>
            </w:pPr>
            <w:r/>
            <w:r>
              <w:rPr>
                <w:b w:val="0"/>
                <w:i w:val="0"/>
                <w:sz w:val="20"/>
              </w:rPr>
              <w:t>Pending Payment</w:t>
            </w:r>
          </w:p>
        </w:tc>
      </w:tr>
      <w:tr>
        <w:trPr>
          <w:cantSplit/>
        </w:trPr>
        <w:tc>
          <w:tcPr>
            <w:tcW w:type="dxa" w:w="5760"/>
            <w:tcMar>
              <w:top w:w="60" w:type="dxa"/>
              <w:left w:w="140" w:type="dxa"/>
              <w:bottom w:w="60" w:type="dxa"/>
              <w:right w:w="140" w:type="dxa"/>
            </w:tcMar>
          </w:tcPr>
          <w:p>
            <w:pPr>
              <w:spacing w:after="0"/>
            </w:pPr>
            <w:r/>
            <w:r>
              <w:rPr>
                <w:b w:val="0"/>
                <w:i w:val="0"/>
                <w:sz w:val="20"/>
              </w:rPr>
              <w:t>Sudah masuk excel tapi belum settled</w:t>
            </w:r>
          </w:p>
        </w:tc>
        <w:tc>
          <w:tcPr>
            <w:tcW w:type="dxa" w:w="3456"/>
            <w:tcMar>
              <w:top w:w="60" w:type="dxa"/>
              <w:left w:w="140" w:type="dxa"/>
              <w:bottom w:w="60" w:type="dxa"/>
              <w:right w:w="140" w:type="dxa"/>
            </w:tcMar>
          </w:tcPr>
          <w:p>
            <w:pPr>
              <w:spacing w:after="0"/>
            </w:pPr>
            <w:r/>
            <w:r>
              <w:rPr>
                <w:b w:val="0"/>
                <w:i w:val="0"/>
                <w:sz w:val="20"/>
              </w:rPr>
              <w:t>Pending Payment (Not Yet Paid)</w:t>
            </w:r>
          </w:p>
        </w:tc>
      </w:tr>
      <w:tr>
        <w:trPr>
          <w:cantSplit/>
        </w:trPr>
        <w:tc>
          <w:tcPr>
            <w:tcW w:type="dxa" w:w="5760"/>
            <w:tcMar>
              <w:top w:w="60" w:type="dxa"/>
              <w:left w:w="140" w:type="dxa"/>
              <w:bottom w:w="60" w:type="dxa"/>
              <w:right w:w="140" w:type="dxa"/>
            </w:tcMar>
          </w:tcPr>
          <w:p>
            <w:pPr>
              <w:spacing w:after="0"/>
            </w:pPr>
            <w:r/>
            <w:r>
              <w:rPr>
                <w:b w:val="0"/>
                <w:i w:val="0"/>
                <w:sz w:val="20"/>
              </w:rPr>
              <w:t>Sudah masuk excel dan sudah settled</w:t>
            </w:r>
          </w:p>
        </w:tc>
        <w:tc>
          <w:tcPr>
            <w:tcW w:type="dxa" w:w="3456"/>
            <w:tcMar>
              <w:top w:w="60" w:type="dxa"/>
              <w:left w:w="140" w:type="dxa"/>
              <w:bottom w:w="60" w:type="dxa"/>
              <w:right w:w="140" w:type="dxa"/>
            </w:tcMar>
          </w:tcPr>
          <w:p>
            <w:pPr>
              <w:spacing w:after="0"/>
            </w:pPr>
            <w:r/>
            <w:r>
              <w:rPr>
                <w:b w:val="0"/>
                <w:i w:val="0"/>
                <w:sz w:val="20"/>
              </w:rPr>
              <w:t>Paid Settled</w:t>
            </w:r>
          </w:p>
        </w:tc>
      </w:tr>
      <w:tr>
        <w:trPr>
          <w:cantSplit/>
        </w:trPr>
        <w:tc>
          <w:tcPr>
            <w:tcW w:type="dxa" w:w="5760"/>
            <w:tcMar>
              <w:top w:w="60" w:type="dxa"/>
              <w:left w:w="140" w:type="dxa"/>
              <w:bottom w:w="60" w:type="dxa"/>
              <w:right w:w="140" w:type="dxa"/>
            </w:tcMar>
          </w:tcPr>
          <w:p>
            <w:pPr>
              <w:spacing w:after="0"/>
            </w:pPr>
            <w:r/>
            <w:r>
              <w:rPr>
                <w:b w:val="0"/>
                <w:i w:val="0"/>
                <w:sz w:val="20"/>
              </w:rPr>
              <w:t>Sudah masuk excel, sudah settled, tapi turns out fraud</w:t>
            </w:r>
          </w:p>
        </w:tc>
        <w:tc>
          <w:tcPr>
            <w:tcW w:type="dxa" w:w="3456"/>
            <w:tcMar>
              <w:top w:w="60" w:type="dxa"/>
              <w:left w:w="140" w:type="dxa"/>
              <w:bottom w:w="60" w:type="dxa"/>
              <w:right w:w="140" w:type="dxa"/>
            </w:tcMar>
          </w:tcPr>
          <w:p>
            <w:pPr>
              <w:spacing w:after="0"/>
            </w:pPr>
            <w:r/>
            <w:r>
              <w:rPr>
                <w:b w:val="0"/>
                <w:i w:val="0"/>
                <w:sz w:val="20"/>
              </w:rPr>
              <w:t>Chargeback</w:t>
            </w:r>
          </w:p>
        </w:tc>
      </w:tr>
      <w:tr>
        <w:trPr>
          <w:cantSplit/>
        </w:trPr>
        <w:tc>
          <w:tcPr>
            <w:tcW w:type="dxa" w:w="5760"/>
            <w:tcMar>
              <w:top w:w="60" w:type="dxa"/>
              <w:left w:w="140" w:type="dxa"/>
              <w:bottom w:w="60" w:type="dxa"/>
              <w:right w:w="140" w:type="dxa"/>
            </w:tcMar>
          </w:tcPr>
          <w:p>
            <w:pPr>
              <w:spacing w:after="0"/>
            </w:pPr>
            <w:r/>
            <w:r>
              <w:rPr>
                <w:b w:val="0"/>
                <w:i w:val="0"/>
                <w:sz w:val="20"/>
              </w:rPr>
              <w:t>Sudah masuk excel, belum settle, tapi turns out fraud</w:t>
            </w:r>
          </w:p>
        </w:tc>
        <w:tc>
          <w:tcPr>
            <w:tcW w:type="dxa" w:w="3456"/>
            <w:tcMar>
              <w:top w:w="60" w:type="dxa"/>
              <w:left w:w="140" w:type="dxa"/>
              <w:bottom w:w="60" w:type="dxa"/>
              <w:right w:w="140" w:type="dxa"/>
            </w:tcMar>
          </w:tcPr>
          <w:p>
            <w:pPr>
              <w:spacing w:after="0"/>
            </w:pPr>
            <w:r/>
            <w:r>
              <w:rPr>
                <w:b w:val="0"/>
                <w:i w:val="0"/>
                <w:sz w:val="20"/>
              </w:rPr>
              <w:t>Canceled</w:t>
            </w:r>
          </w:p>
        </w:tc>
      </w:tr>
    </w:tbl>
    <w:p>
      <w:pPr>
        <w:spacing w:after="80"/>
      </w:pPr>
    </w:p>
    <w:p>
      <w:pPr>
        <w:spacing w:after="160"/>
      </w:pPr>
      <w:r>
        <w:rPr>
          <w:b w:val="0"/>
          <w:i w:val="0"/>
        </w:rPr>
        <w:t xml:space="preserve">But the design frame itself shows only </w:t>
      </w:r>
      <w:r>
        <w:rPr>
          <w:b/>
          <w:i w:val="0"/>
        </w:rPr>
        <w:t>four</w:t>
      </w:r>
      <w:r>
        <w:rPr>
          <w:b w:val="0"/>
          <w:i w:val="0"/>
        </w:rPr>
        <w:t xml:space="preserve"> status chips — </w:t>
      </w:r>
      <w:r>
        <w:rPr>
          <w:b/>
          <w:i w:val="0"/>
        </w:rPr>
        <w:t>Settled, Pending, Charge Back, Cancelled</w:t>
      </w:r>
      <w:r>
        <w:rPr>
          <w:b w:val="0"/>
          <w:i w:val="0"/>
        </w:rPr>
        <w:t xml:space="preserve"> — so the first two conditions in the table above both appear to the user as a single </w:t>
      </w:r>
      <w:r>
        <w:rPr>
          <w:b/>
          <w:i w:val="0"/>
        </w:rPr>
        <w:t>Pending</w:t>
      </w:r>
      <w:r>
        <w:rPr>
          <w:b w:val="0"/>
          <w:i w:val="0"/>
        </w:rPr>
        <w:t>.</w:t>
      </w:r>
    </w:p>
    <w:p>
      <w:pPr>
        <w:spacing w:after="160"/>
      </w:pPr>
      <w:r>
        <w:rPr>
          <w:b/>
          <w:i w:val="0"/>
        </w:rPr>
        <w:t xml:space="preserve">What we built: </w:t>
      </w:r>
      <w:r>
        <w:rPr>
          <w:b w:val="0"/>
          <w:i w:val="0"/>
        </w:rPr>
        <w:t>the four from the frame, because that is what a user actually sees on screen.</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A — Four is correct.</w:t>
      </w:r>
      <w:r>
        <w:rPr>
          <w:b w:val="0"/>
          <w:i w:val="0"/>
        </w:rPr>
        <w:t xml:space="preserve"> The two "pending" conditions look the same to the user; the distinction is internal only.</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Five is correct.</w:t>
      </w:r>
      <w:r>
        <w:rPr>
          <w:b w:val="0"/>
          <w:i w:val="0"/>
        </w:rPr>
        <w:t xml:space="preserve"> Please give us the exact wording for the fifth chip, and tell us how a reader is meant to tell the two pending states apart at a glance.</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A - four is correct.</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 fifth condition is an internal admin state, not a user-facing one. Pending covers two situations behind the scenes: the payment may already have been made but not yet reflected in the LINKZ admin spreadsheet, or it may be in the spreadsheet but not yet settled out to the user by the LINKZ admin.</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 user sees Pending in both cases. The distinction lives in the admin panel, not on this screen.</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Q3 — Where do the Settlement and Payments rows come from?</w:t>
      </w:r>
    </w:p>
    <w:p>
      <w:pPr>
        <w:spacing w:after="200"/>
      </w:pPr>
      <w:r>
        <w:rPr>
          <w:b w:val="0"/>
          <w:i w:val="0"/>
          <w:color w:val="606060"/>
          <w:sz w:val="20"/>
        </w:rPr>
        <w:t xml:space="preserve">Spec reference: </w:t>
      </w:r>
      <w:r>
        <w:rPr>
          <w:b/>
          <w:i w:val="0"/>
          <w:color w:val="606060"/>
          <w:sz w:val="20"/>
        </w:rPr>
        <w:t>§9</w:t>
      </w:r>
      <w:r>
        <w:rPr>
          <w:b w:val="0"/>
          <w:i w:val="0"/>
          <w:sz w:val="20"/>
        </w:rPr>
        <w:t xml:space="preserve">     </w:t>
      </w:r>
      <w:r>
        <w:rPr>
          <w:b/>
          <w:i w:val="0"/>
          <w:color w:val="C00000"/>
          <w:sz w:val="20"/>
        </w:rPr>
        <w:t>BLOCKING</w:t>
      </w:r>
    </w:p>
    <w:p>
      <w:pPr>
        <w:spacing w:after="160"/>
      </w:pPr>
      <w:r>
        <w:rPr>
          <w:b w:val="0"/>
          <w:i w:val="0"/>
        </w:rPr>
        <w:t>You recommended feeding both tables from real activity in the prototype:</w:t>
      </w:r>
    </w:p>
    <w:p>
      <w:pPr>
        <w:pBdr>
          <w:left w:val="single" w:sz="18" w:space="4" w:color="9DB2CE"/>
        </w:pBdr>
        <w:shd w:val="clear" w:color="auto" w:fill="F2F5FA"/>
        <w:spacing w:before="120" w:after="200"/>
        <w:ind w:left="403" w:right="288"/>
      </w:pPr>
      <w:r>
        <w:rPr>
          <w:b w:val="0"/>
          <w:i/>
          <w:color w:val="606060"/>
        </w:rPr>
        <w:t>Settling a sales invoice writes a Settlement row; paying a purchase invoice writes a Payment row carrying the method chosen at checkout.</w:t>
      </w:r>
    </w:p>
    <w:p>
      <w:pPr>
        <w:spacing w:after="160"/>
      </w:pPr>
      <w:r>
        <w:rPr>
          <w:b w:val="0"/>
          <w:i w:val="0"/>
        </w:rPr>
        <w:t>We have built both tables from fixed sample data for now. Two things are unclear before we connect them to real activity.</w:t>
      </w:r>
    </w:p>
    <w:p>
      <w:pPr>
        <w:pStyle w:val="Heading3"/>
      </w:pPr>
      <w:r>
        <w:t>3a. Please confirm the two ways a row gets created</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Correct —</w:t>
      </w:r>
      <w:r>
        <w:rPr>
          <w:b w:val="0"/>
          <w:i w:val="0"/>
        </w:rPr>
        <w:t xml:space="preserve"> a Settlement row is created only when a SALES invoice is settled.</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Correct —</w:t>
      </w:r>
      <w:r>
        <w:rPr>
          <w:b w:val="0"/>
          <w:i w:val="0"/>
        </w:rPr>
        <w:t xml:space="preserve"> a Payments row is created only when a PURCHASE invoice is paid at checkout.</w:t>
      </w:r>
    </w:p>
    <w:p>
      <w:pPr>
        <w:spacing w:after="160"/>
      </w:pPr>
      <w:r>
        <w:rPr>
          <w:b w:val="0"/>
          <w:i w:val="0"/>
        </w:rPr>
        <w:t xml:space="preserve">If either is wrong, </w:t>
      </w:r>
      <w:r>
        <w:rPr>
          <w:b w:val="0"/>
          <w:i w:val="0"/>
        </w:rPr>
        <w:t>say what else should create a row, in the box below.</w:t>
      </w:r>
    </w:p>
    <w:p>
      <w:pPr>
        <w:pStyle w:val="Heading3"/>
      </w:pPr>
      <w:r>
        <w:t>3b. What moves a settlement from Pending to Settled?</w:t>
      </w:r>
    </w:p>
    <w:p>
      <w:pPr>
        <w:spacing w:after="160"/>
      </w:pPr>
      <w:r>
        <w:rPr>
          <w:b w:val="0"/>
          <w:i w:val="0"/>
        </w:rPr>
        <w:t>If a Settlement row appears the moment a sales invoice is marked paid, it presumably starts at Pending. This prototype has no backend, so nothing can later come along and mark it Settled by itself.</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Leave them Pending.</w:t>
      </w:r>
      <w:r>
        <w:rPr>
          <w:b w:val="0"/>
          <w:i w:val="0"/>
        </w:rPr>
        <w:t xml:space="preserve"> New rows stay at Pending forever; Settled only ever appears on the sample rows we seeded.</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Move to Settled on a timer.</w:t>
      </w:r>
      <w:r>
        <w:rPr>
          <w:b w:val="0"/>
          <w:i w:val="0"/>
        </w:rPr>
        <w:t xml:space="preserve"> Please say how long.</w:t>
      </w:r>
    </w:p>
    <w:p>
      <w:pPr>
        <w:spacing w:after="100"/>
        <w:ind w:left="461" w:hanging="461"/>
      </w:pPr>
      <w:r>
        <w:rPr>
          <w:rFonts w:ascii="Segoe UI Symbol" w:hAnsi="Segoe UI Symbol" w:eastAsia="Segoe UI Symbol"/>
          <w:b w:val="0"/>
          <w:i w:val="0"/>
          <w:sz w:val="26"/>
        </w:rPr>
        <w:t>☐</w:t>
      </w:r>
      <w:r>
        <w:rPr>
          <w:b w:val="0"/>
          <w:i w:val="0"/>
        </w:rPr>
        <w:t xml:space="preserve">   </w:t>
      </w:r>
      <w:r>
        <w:rPr>
          <w:b/>
          <w:i w:val="0"/>
        </w:rPr>
        <w:t>C — Move to Settled by a manual action</w:t>
      </w:r>
      <w:r>
        <w:rPr>
          <w:b w:val="0"/>
          <w:i w:val="0"/>
        </w:rPr>
        <w:t xml:space="preserve"> in the prototype. Please say what the action is and where it lives.</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3a - both confirmed, as ticked above.</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3b - none of the three options.</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A settlement row is created as Pending when the sales invoice is settled. It is moved to Settled manually by the LINKZ admin from the admin panel - not by the user, and not on a timer. That change is then reflected in the user Order Report.</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Note for this prototype, which has no admin panel: new rows should stay at Pending, and Settled should appear only on the seeded sample rows. If you want the transition to be demonstrable in training, put it behind a dev or demo control rather than in the user-facing UI.</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Q4 — Should the order list really start empty?</w:t>
      </w:r>
    </w:p>
    <w:p>
      <w:pPr>
        <w:spacing w:after="200"/>
      </w:pPr>
      <w:r>
        <w:rPr>
          <w:b w:val="0"/>
          <w:i w:val="0"/>
          <w:color w:val="606060"/>
          <w:sz w:val="20"/>
        </w:rPr>
        <w:t xml:space="preserve">Spec reference: </w:t>
      </w:r>
      <w:r>
        <w:rPr>
          <w:b/>
          <w:i w:val="0"/>
          <w:color w:val="606060"/>
          <w:sz w:val="20"/>
        </w:rPr>
        <w:t>§4</w:t>
      </w:r>
      <w:r>
        <w:rPr>
          <w:b w:val="0"/>
          <w:i w:val="0"/>
          <w:sz w:val="20"/>
        </w:rPr>
        <w:t xml:space="preserve">     </w:t>
      </w:r>
      <w:r>
        <w:rPr>
          <w:b/>
          <w:i w:val="0"/>
          <w:color w:val="C00000"/>
          <w:sz w:val="20"/>
        </w:rPr>
        <w:t>BLOCKING</w:t>
      </w:r>
    </w:p>
    <w:p>
      <w:pPr>
        <w:spacing w:after="160"/>
      </w:pPr>
      <w:r>
        <w:rPr>
          <w:b/>
          <w:i w:val="0"/>
        </w:rPr>
        <w:t>This is the one we would most like your decision on</w:t>
      </w:r>
      <w:r>
        <w:rPr>
          <w:b w:val="0"/>
          <w:i w:val="0"/>
        </w:rPr>
        <w:t>, because it changes several screens either way.</w:t>
      </w:r>
    </w:p>
    <w:p>
      <w:pPr>
        <w:spacing w:after="160"/>
      </w:pPr>
      <w:r>
        <w:rPr>
          <w:b/>
          <w:i w:val="0"/>
        </w:rPr>
        <w:t>What the spec says:</w:t>
      </w:r>
    </w:p>
    <w:p>
      <w:pPr>
        <w:pBdr>
          <w:left w:val="single" w:sz="18" w:space="4" w:color="9DB2CE"/>
        </w:pBdr>
        <w:shd w:val="clear" w:color="auto" w:fill="F2F5FA"/>
        <w:spacing w:before="120" w:after="200"/>
        <w:ind w:left="403" w:right="288"/>
      </w:pPr>
      <w:r>
        <w:rPr>
          <w:b w:val="0"/>
          <w:i/>
          <w:color w:val="606060"/>
        </w:rPr>
        <w:t>Starts empty; the empty state is the front door with a single Create Order call to action.</w:t>
      </w:r>
    </w:p>
    <w:p>
      <w:pPr>
        <w:spacing w:after="160"/>
      </w:pPr>
      <w:r>
        <w:rPr>
          <w:b/>
          <w:i w:val="0"/>
        </w:rPr>
        <w:t xml:space="preserve">Why that conflicts with the rest of the prototype. </w:t>
      </w:r>
      <w:r>
        <w:rPr>
          <w:b w:val="0"/>
          <w:i w:val="0"/>
        </w:rPr>
        <w:t xml:space="preserve">This build is a </w:t>
      </w:r>
      <w:r>
        <w:rPr>
          <w:b/>
          <w:i w:val="0"/>
        </w:rPr>
        <w:t>training mock</w:t>
      </w:r>
      <w:r>
        <w:rPr>
          <w:b w:val="0"/>
          <w:i w:val="0"/>
        </w:rPr>
        <w:t>. Several screens that are already built read from pre-loaded orders:</w:t>
      </w:r>
    </w:p>
    <w:p>
      <w:pPr>
        <w:pStyle w:val="ListBullet"/>
        <w:spacing w:after="80"/>
        <w:ind w:left="432"/>
      </w:pPr>
      <w:r>
        <w:rPr>
          <w:b/>
          <w:i w:val="0"/>
        </w:rPr>
        <w:t>the Dashboard</w:t>
      </w:r>
      <w:r>
        <w:rPr>
          <w:b w:val="0"/>
          <w:i w:val="0"/>
        </w:rPr>
        <w:t xml:space="preserve"> shows order counts, GMV and revenue totals;</w:t>
      </w:r>
    </w:p>
    <w:p>
      <w:pPr>
        <w:pStyle w:val="ListBullet"/>
        <w:spacing w:after="80"/>
        <w:ind w:left="432"/>
      </w:pPr>
      <w:r>
        <w:rPr>
          <w:b/>
          <w:i w:val="0"/>
        </w:rPr>
        <w:t>the Finance screens</w:t>
      </w:r>
      <w:r>
        <w:rPr>
          <w:b w:val="0"/>
          <w:i w:val="0"/>
        </w:rPr>
        <w:t xml:space="preserve"> (Seller and Buyer Pay Later) reference invoices and orders;</w:t>
      </w:r>
    </w:p>
    <w:p>
      <w:pPr>
        <w:pStyle w:val="ListBullet"/>
        <w:spacing w:after="80"/>
        <w:ind w:left="432"/>
      </w:pPr>
      <w:r>
        <w:rPr>
          <w:b/>
          <w:i w:val="0"/>
        </w:rPr>
        <w:t>Checkout</w:t>
      </w:r>
      <w:r>
        <w:rPr>
          <w:b w:val="0"/>
          <w:i w:val="0"/>
        </w:rPr>
        <w:t xml:space="preserve"> is reached from a pre-loaded purchase order.</w:t>
      </w:r>
    </w:p>
    <w:p>
      <w:pPr>
        <w:spacing w:after="200"/>
      </w:pPr>
      <w:r>
        <w:rPr>
          <w:b w:val="0"/>
          <w:i w:val="0"/>
        </w:rPr>
        <w:t>If the order list starts genuinely empty, those screens either show zeros, or show figures that no longer correspond to anything in the list.</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A — Start empty and accept the knock-on.</w:t>
      </w:r>
      <w:r>
        <w:rPr>
          <w:b w:val="0"/>
          <w:i w:val="0"/>
        </w:rPr>
        <w:t xml:space="preserve"> The list is the front door; the dashboard and finance screens show zeros until the trainee creates orders. Most faithful to §4.</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Keep the pre-loaded orders.</w:t>
      </w:r>
      <w:r>
        <w:rPr>
          <w:b w:val="0"/>
          <w:i w:val="0"/>
        </w:rPr>
        <w:t xml:space="preserve"> The empty state appears only after a trainee clears the demo data. Most useful for a training walkthrough.</w:t>
      </w:r>
    </w:p>
    <w:p>
      <w:pPr>
        <w:spacing w:after="100"/>
        <w:ind w:left="461" w:hanging="461"/>
      </w:pPr>
      <w:r>
        <w:rPr>
          <w:rFonts w:ascii="Segoe UI Symbol" w:hAnsi="Segoe UI Symbol" w:eastAsia="Segoe UI Symbol"/>
          <w:b w:val="0"/>
          <w:i w:val="0"/>
          <w:sz w:val="26"/>
        </w:rPr>
        <w:t>☐</w:t>
      </w:r>
      <w:r>
        <w:rPr>
          <w:b w:val="0"/>
          <w:i w:val="0"/>
        </w:rPr>
        <w:t xml:space="preserve">   </w:t>
      </w:r>
      <w:r>
        <w:rPr>
          <w:b/>
          <w:i w:val="0"/>
        </w:rPr>
        <w:t>C — Pre-load the other screens separately</w:t>
      </w:r>
      <w:r>
        <w:rPr>
          <w:b w:val="0"/>
          <w:i w:val="0"/>
        </w:rPr>
        <w:t xml:space="preserve"> from the order list, so the list starts empty while the dashboard still demonstrates populated figures. This means the numbers will not reconcile against the list — is that acceptable in a mock?</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A - start empty.</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 order list starts genuinely empty. That is the front door for a trainee: their first action is to create an order.</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 Dashboard and Finance screens keep their placeholder figures so the populated layout is still demonstrable. Empty states for all of those screens are already designed and available if you would rather show those instead. Those figures are illustrative and are not expected to reconcile against the order list.</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Q5 — What does the Status filter do on the Payments tab?</w:t>
      </w:r>
    </w:p>
    <w:p>
      <w:pPr>
        <w:spacing w:after="200"/>
      </w:pPr>
      <w:r>
        <w:rPr>
          <w:b w:val="0"/>
          <w:i w:val="0"/>
          <w:color w:val="606060"/>
          <w:sz w:val="20"/>
        </w:rPr>
        <w:t xml:space="preserve">Spec reference: </w:t>
      </w:r>
      <w:r>
        <w:rPr>
          <w:b/>
          <w:i w:val="0"/>
          <w:color w:val="606060"/>
          <w:sz w:val="20"/>
        </w:rPr>
        <w:t>§9</w:t>
      </w:r>
      <w:r>
        <w:rPr>
          <w:b w:val="0"/>
          <w:i w:val="0"/>
          <w:sz w:val="20"/>
        </w:rPr>
        <w:t xml:space="preserve">     </w:t>
      </w:r>
      <w:r>
        <w:rPr>
          <w:b/>
          <w:i w:val="0"/>
          <w:color w:val="606060"/>
          <w:sz w:val="20"/>
        </w:rPr>
        <w:t>Not blocking</w:t>
      </w:r>
    </w:p>
    <w:p>
      <w:pPr>
        <w:spacing w:after="160"/>
      </w:pPr>
      <w:r>
        <w:rPr>
          <w:b w:val="0"/>
          <w:i w:val="0"/>
        </w:rPr>
        <w:t xml:space="preserve">The Payments frame shows an </w:t>
      </w:r>
      <w:r>
        <w:rPr>
          <w:b/>
          <w:i w:val="0"/>
        </w:rPr>
        <w:t>All Status</w:t>
      </w:r>
      <w:r>
        <w:rPr>
          <w:b w:val="0"/>
          <w:i w:val="0"/>
        </w:rPr>
        <w:t xml:space="preserve"> filter in the toolbar. But the Payments table has no Status column — and your own comparison table says so explicitly:</w:t>
      </w:r>
    </w:p>
    <w:p>
      <w:pPr>
        <w:pBdr>
          <w:left w:val="single" w:sz="18" w:space="4" w:color="9DB2CE"/>
        </w:pBdr>
        <w:shd w:val="clear" w:color="auto" w:fill="F2F5FA"/>
        <w:spacing w:before="120" w:after="200"/>
        <w:ind w:left="403" w:right="288"/>
      </w:pPr>
      <w:r>
        <w:rPr>
          <w:b w:val="0"/>
          <w:i/>
          <w:color w:val="606060"/>
        </w:rPr>
        <w:t>Status column — Settlement: Yes (Settled / Pending / Charge Back / Cancelled). Payments: No.</w:t>
      </w:r>
    </w:p>
    <w:p>
      <w:pPr>
        <w:spacing w:after="160"/>
      </w:pPr>
      <w:r>
        <w:rPr>
          <w:b/>
          <w:i w:val="0"/>
        </w:rPr>
        <w:t xml:space="preserve">What we built: </w:t>
      </w:r>
      <w:r>
        <w:rPr>
          <w:b w:val="0"/>
          <w:i w:val="0"/>
        </w:rPr>
        <w:t>the filter is hidden on the Payments tab and shown on Settlement only.</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A — Correct, drop it</w:t>
      </w:r>
      <w:r>
        <w:rPr>
          <w:b w:val="0"/>
          <w:i w:val="0"/>
        </w:rPr>
        <w:t xml:space="preserve"> from the Payments tab.</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Keep it</w:t>
      </w:r>
      <w:r>
        <w:rPr>
          <w:b w:val="0"/>
          <w:i w:val="0"/>
        </w:rPr>
        <w:t xml:space="preserve"> — it filters on something that is not shown in the table. Please name the field below.</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A - remove it.</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There should be no status filter on the Order Report Payments tab.</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Q6 — Should the date range actually filter the table?</w:t>
      </w:r>
    </w:p>
    <w:p>
      <w:pPr>
        <w:spacing w:after="200"/>
      </w:pPr>
      <w:r>
        <w:rPr>
          <w:b w:val="0"/>
          <w:i w:val="0"/>
          <w:color w:val="606060"/>
          <w:sz w:val="20"/>
        </w:rPr>
        <w:t xml:space="preserve">Spec reference: </w:t>
      </w:r>
      <w:r>
        <w:rPr>
          <w:b/>
          <w:i w:val="0"/>
          <w:color w:val="606060"/>
          <w:sz w:val="20"/>
        </w:rPr>
        <w:t>§9</w:t>
      </w:r>
      <w:r>
        <w:rPr>
          <w:b w:val="0"/>
          <w:i w:val="0"/>
          <w:sz w:val="20"/>
        </w:rPr>
        <w:t xml:space="preserve">     </w:t>
      </w:r>
      <w:r>
        <w:rPr>
          <w:b/>
          <w:i w:val="0"/>
          <w:color w:val="606060"/>
          <w:sz w:val="20"/>
        </w:rPr>
        <w:t>Not blocking</w:t>
      </w:r>
    </w:p>
    <w:p>
      <w:pPr>
        <w:spacing w:after="160"/>
      </w:pPr>
      <w:r>
        <w:rPr>
          <w:b w:val="0"/>
          <w:i w:val="0"/>
        </w:rPr>
        <w:t>The date picker is built and applies a range correctly. Two loose ends remain.</w:t>
      </w:r>
    </w:p>
    <w:p>
      <w:pPr>
        <w:spacing w:after="160"/>
      </w:pPr>
      <w:r>
        <w:rPr>
          <w:b/>
          <w:i w:val="0"/>
        </w:rPr>
        <w:t xml:space="preserve">6a. </w:t>
      </w:r>
      <w:r>
        <w:rPr>
          <w:b w:val="0"/>
          <w:i w:val="0"/>
        </w:rPr>
        <w:t xml:space="preserve">The sample rows are dated </w:t>
      </w:r>
      <w:r>
        <w:rPr>
          <w:b/>
          <w:i w:val="0"/>
        </w:rPr>
        <w:t>June 2026</w:t>
      </w:r>
      <w:r>
        <w:rPr>
          <w:b w:val="0"/>
          <w:i w:val="0"/>
        </w:rPr>
        <w:t xml:space="preserve">, but the default preset in the frame is </w:t>
      </w:r>
      <w:r>
        <w:rPr>
          <w:b/>
          <w:i w:val="0"/>
        </w:rPr>
        <w:t>Last 7 days</w:t>
      </w:r>
      <w:r>
        <w:rPr>
          <w:b w:val="0"/>
          <w:i w:val="0"/>
        </w:rPr>
        <w:t xml:space="preserve">. If the range filtered literally against today’s date, the table would open </w:t>
      </w:r>
      <w:r>
        <w:rPr>
          <w:b/>
          <w:i w:val="0"/>
        </w:rPr>
        <w:t>empty</w:t>
      </w:r>
      <w:r>
        <w:rPr>
          <w:b w:val="0"/>
          <w:i w:val="0"/>
        </w:rPr>
        <w:t xml:space="preserve"> — which is not what the frame shows.</w:t>
      </w:r>
    </w:p>
    <w:p>
      <w:pPr>
        <w:spacing w:after="200"/>
      </w:pPr>
      <w:r>
        <w:rPr>
          <w:b/>
          <w:i w:val="0"/>
        </w:rPr>
        <w:t xml:space="preserve">6b. </w:t>
      </w:r>
      <w:r>
        <w:rPr>
          <w:b w:val="0"/>
          <w:i w:val="0"/>
        </w:rPr>
        <w:t>Right now the chosen range is applied and displayed, but it does not actually filter the sample rows.</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Do not filter in the mock.</w:t>
      </w:r>
      <w:r>
        <w:rPr>
          <w:b w:val="0"/>
          <w:i w:val="0"/>
        </w:rPr>
        <w:t xml:space="preserve"> The picker demonstrates the interaction; the rows stay put. This is what we have now.</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B — Filter for real</w:t>
      </w:r>
      <w:r>
        <w:rPr>
          <w:b w:val="0"/>
          <w:i w:val="0"/>
        </w:rPr>
        <w:t xml:space="preserve"> — and either move the sample data inside the default range, or change the default preset. Please say which.</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B - filter for real.</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Seed the sample rows relative to today - today, minus 1, minus 2, minus 3 days - instead of hard-coding June 2026. Last 7 days is then always populated whenever the mock is opened, and the picker does something real rather than only demonstrating the interaction.</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Q7 — Can a purchase invoice only ever be settled at checkout?</w:t>
      </w:r>
    </w:p>
    <w:p>
      <w:pPr>
        <w:spacing w:after="200"/>
      </w:pPr>
      <w:r>
        <w:rPr>
          <w:b w:val="0"/>
          <w:i w:val="0"/>
          <w:color w:val="606060"/>
          <w:sz w:val="20"/>
        </w:rPr>
        <w:t xml:space="preserve">Spec reference: </w:t>
      </w:r>
      <w:r>
        <w:rPr>
          <w:b/>
          <w:i w:val="0"/>
          <w:color w:val="606060"/>
          <w:sz w:val="20"/>
        </w:rPr>
        <w:t>§6</w:t>
      </w:r>
      <w:r>
        <w:rPr>
          <w:b w:val="0"/>
          <w:i w:val="0"/>
          <w:sz w:val="20"/>
        </w:rPr>
        <w:t xml:space="preserve">     </w:t>
      </w:r>
      <w:r>
        <w:rPr>
          <w:b/>
          <w:i w:val="0"/>
          <w:color w:val="606060"/>
          <w:sz w:val="20"/>
        </w:rPr>
        <w:t>Not blocking</w:t>
      </w:r>
    </w:p>
    <w:p>
      <w:pPr>
        <w:spacing w:after="160"/>
      </w:pPr>
      <w:r>
        <w:rPr>
          <w:b w:val="0"/>
          <w:i w:val="0"/>
        </w:rPr>
        <w:t>Your table gives the two invoice types different row actions:</w:t>
      </w:r>
    </w:p>
    <w:tbl>
      <w:tblPr>
        <w:tblStyle w:val="TableGrid"/>
        <w:tblW w:w="9216" w:type="dxa"/>
        <w:jc w:val="left"/>
        <w:tblLayout w:type="fixed"/>
        <w:tblLook w:firstColumn="1" w:firstRow="1" w:lastColumn="0" w:lastRow="0" w:noHBand="0" w:noVBand="1" w:val="04A0"/>
      </w:tblPr>
      <w:tblGrid>
        <w:gridCol w:w="1584"/>
        <w:gridCol w:w="3888"/>
        <w:gridCol w:w="3744"/>
      </w:tblGrid>
      <w:tr>
        <w:trPr>
          <w:tblHeader/>
          <w:cantSplit/>
        </w:trPr>
        <w:tc>
          <w:tcPr>
            <w:tcW w:type="dxa" w:w="1584"/>
            <w:shd w:val="clear" w:color="auto" w:fill="E8EDF5"/>
            <w:tcMar>
              <w:top w:w="70" w:type="dxa"/>
              <w:left w:w="140" w:type="dxa"/>
              <w:bottom w:w="70" w:type="dxa"/>
              <w:right w:w="140" w:type="dxa"/>
            </w:tcMar>
          </w:tcPr>
          <w:p>
            <w:pPr>
              <w:keepNext/>
              <w:spacing w:after="0"/>
            </w:pPr>
            <w:r/>
            <w:r>
              <w:rPr>
                <w:b/>
                <w:i w:val="0"/>
                <w:color w:val="1F3864"/>
                <w:sz w:val="20"/>
              </w:rPr>
            </w:r>
          </w:p>
        </w:tc>
        <w:tc>
          <w:tcPr>
            <w:tcW w:type="dxa" w:w="3888"/>
            <w:shd w:val="clear" w:color="auto" w:fill="E8EDF5"/>
            <w:tcMar>
              <w:top w:w="70" w:type="dxa"/>
              <w:left w:w="140" w:type="dxa"/>
              <w:bottom w:w="70" w:type="dxa"/>
              <w:right w:w="140" w:type="dxa"/>
            </w:tcMar>
          </w:tcPr>
          <w:p>
            <w:pPr>
              <w:keepNext/>
              <w:spacing w:after="0"/>
            </w:pPr>
            <w:r/>
            <w:r>
              <w:rPr>
                <w:b/>
                <w:i w:val="0"/>
                <w:color w:val="1F3864"/>
                <w:sz w:val="20"/>
              </w:rPr>
              <w:t>Sales invoice</w:t>
            </w:r>
          </w:p>
        </w:tc>
        <w:tc>
          <w:tcPr>
            <w:tcW w:type="dxa" w:w="3744"/>
            <w:shd w:val="clear" w:color="auto" w:fill="E8EDF5"/>
            <w:tcMar>
              <w:top w:w="70" w:type="dxa"/>
              <w:left w:w="140" w:type="dxa"/>
              <w:bottom w:w="70" w:type="dxa"/>
              <w:right w:w="140" w:type="dxa"/>
            </w:tcMar>
          </w:tcPr>
          <w:p>
            <w:pPr>
              <w:keepNext/>
              <w:spacing w:after="0"/>
            </w:pPr>
            <w:r/>
            <w:r>
              <w:rPr>
                <w:b/>
                <w:i w:val="0"/>
                <w:color w:val="1F3864"/>
                <w:sz w:val="20"/>
              </w:rPr>
              <w:t>Purchase invoice</w:t>
            </w:r>
          </w:p>
        </w:tc>
      </w:tr>
      <w:tr>
        <w:trPr>
          <w:cantSplit/>
        </w:trPr>
        <w:tc>
          <w:tcPr>
            <w:tcW w:type="dxa" w:w="1584"/>
            <w:tcMar>
              <w:top w:w="60" w:type="dxa"/>
              <w:left w:w="140" w:type="dxa"/>
              <w:bottom w:w="60" w:type="dxa"/>
              <w:right w:w="140" w:type="dxa"/>
            </w:tcMar>
          </w:tcPr>
          <w:p>
            <w:pPr>
              <w:spacing w:after="0"/>
            </w:pPr>
            <w:r/>
            <w:r>
              <w:rPr>
                <w:b w:val="0"/>
                <w:i w:val="0"/>
                <w:sz w:val="20"/>
              </w:rPr>
              <w:t>Row actions</w:t>
            </w:r>
          </w:p>
        </w:tc>
        <w:tc>
          <w:tcPr>
            <w:tcW w:type="dxa" w:w="3888"/>
            <w:tcMar>
              <w:top w:w="60" w:type="dxa"/>
              <w:left w:w="140" w:type="dxa"/>
              <w:bottom w:w="60" w:type="dxa"/>
              <w:right w:w="140" w:type="dxa"/>
            </w:tcMar>
          </w:tcPr>
          <w:p>
            <w:pPr>
              <w:spacing w:after="0"/>
            </w:pPr>
            <w:r/>
            <w:r>
              <w:rPr>
                <w:b w:val="0"/>
                <w:i w:val="0"/>
                <w:sz w:val="20"/>
              </w:rPr>
              <w:t>Menu: Download PDF · Mark as Paid · Void Invoice</w:t>
            </w:r>
          </w:p>
        </w:tc>
        <w:tc>
          <w:tcPr>
            <w:tcW w:type="dxa" w:w="3744"/>
            <w:tcMar>
              <w:top w:w="60" w:type="dxa"/>
              <w:left w:w="140" w:type="dxa"/>
              <w:bottom w:w="60" w:type="dxa"/>
              <w:right w:w="140" w:type="dxa"/>
            </w:tcMar>
          </w:tcPr>
          <w:p>
            <w:pPr>
              <w:spacing w:after="0"/>
            </w:pPr>
            <w:r/>
            <w:r>
              <w:rPr>
                <w:b/>
                <w:i w:val="0"/>
                <w:sz w:val="20"/>
              </w:rPr>
              <w:t>Download icon only — no menu</w:t>
            </w:r>
          </w:p>
        </w:tc>
      </w:tr>
    </w:tbl>
    <w:p>
      <w:pPr>
        <w:spacing w:after="80"/>
      </w:pPr>
    </w:p>
    <w:p>
      <w:pPr>
        <w:spacing w:after="200"/>
      </w:pPr>
      <w:r>
        <w:rPr>
          <w:b/>
          <w:i w:val="0"/>
        </w:rPr>
        <w:t xml:space="preserve">The consequence. </w:t>
      </w:r>
      <w:r>
        <w:rPr>
          <w:b w:val="0"/>
          <w:i w:val="0"/>
        </w:rPr>
        <w:t xml:space="preserve">A purchase invoice can then only be closed by </w:t>
      </w:r>
      <w:r>
        <w:rPr>
          <w:b/>
          <w:i w:val="0"/>
        </w:rPr>
        <w:t>paying it at checkout</w:t>
      </w:r>
      <w:r>
        <w:rPr>
          <w:b w:val="0"/>
          <w:i w:val="0"/>
        </w:rPr>
        <w:t xml:space="preserve"> — there is no Mark as Paid and no Void. So a purchase invoice raised in error cannot be voided at all, and the order it belongs to cannot be closed without paying it.</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That is intended.</w:t>
      </w:r>
      <w:r>
        <w:rPr>
          <w:b w:val="0"/>
          <w:i w:val="0"/>
        </w:rPr>
        <w:t xml:space="preserve"> Purchase invoices are settled only at checkout; that is the point.</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B — Not intended.</w:t>
      </w:r>
      <w:r>
        <w:rPr>
          <w:b w:val="0"/>
          <w:i w:val="0"/>
        </w:rPr>
        <w:t xml:space="preserve"> Purchase invoices should also offer (tick what applies):</w:t>
      </w:r>
    </w:p>
    <w:p>
      <w:pPr>
        <w:spacing w:after="100"/>
        <w:ind w:left="893" w:hanging="461"/>
      </w:pPr>
      <w:r>
        <w:rPr>
          <w:b/>
          <w:rFonts w:ascii="Segoe UI Symbol" w:hAnsi="Segoe UI Symbol" w:eastAsia="Segoe UI Symbol"/>
          <w:i w:val="0"/>
          <w:sz w:val="26"/>
          <w:color w:val="1D6F42"/>
        </w:rPr>
        <w:t>X</w:t>
      </w:r>
      <w:r>
        <w:rPr>
          <w:b w:val="0"/>
          <w:i w:val="0"/>
        </w:rPr>
        <w:t xml:space="preserve">   </w:t>
      </w:r>
      <w:r>
        <w:rPr>
          <w:b/>
          <w:i w:val="0"/>
        </w:rPr>
        <w:t>Void Invoice</w:t>
      </w:r>
    </w:p>
    <w:p>
      <w:pPr>
        <w:spacing w:after="100"/>
        <w:ind w:left="893" w:hanging="461"/>
      </w:pPr>
      <w:r>
        <w:rPr>
          <w:rFonts w:ascii="Segoe UI Symbol" w:hAnsi="Segoe UI Symbol" w:eastAsia="Segoe UI Symbol"/>
          <w:b w:val="0"/>
          <w:i w:val="0"/>
          <w:sz w:val="26"/>
        </w:rPr>
        <w:t>☐</w:t>
      </w:r>
      <w:r>
        <w:rPr>
          <w:b w:val="0"/>
          <w:i w:val="0"/>
        </w:rPr>
        <w:t xml:space="preserve">   </w:t>
      </w:r>
      <w:r>
        <w:rPr>
          <w:b/>
          <w:i w:val="0"/>
        </w:rPr>
        <w:t>Mark as Paid</w:t>
      </w:r>
    </w:p>
    <w:p>
      <w:pPr>
        <w:spacing w:after="100"/>
        <w:ind w:left="893" w:hanging="461"/>
      </w:pPr>
      <w:r>
        <w:rPr>
          <w:rFonts w:ascii="Segoe UI Symbol" w:hAnsi="Segoe UI Symbol" w:eastAsia="Segoe UI Symbol"/>
          <w:b w:val="0"/>
          <w:i w:val="0"/>
          <w:sz w:val="26"/>
        </w:rPr>
        <w:t>☐</w:t>
      </w:r>
      <w:r>
        <w:rPr>
          <w:b w:val="0"/>
          <w:i w:val="0"/>
        </w:rPr>
        <w:t xml:space="preserve">   </w:t>
      </w:r>
      <w:r>
        <w:rPr>
          <w:b/>
          <w:i w:val="0"/>
        </w:rPr>
        <w:t>Something else</w:t>
      </w:r>
      <w:r>
        <w:rPr>
          <w:b w:val="0"/>
          <w:i w:val="0"/>
        </w:rPr>
        <w:t xml:space="preserve"> — describe it below.</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B - add Void Invoice. Not Mark as Paid.</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Mark as Paid stays off the purchase side deliberately: a buyer should not be able to settle a seller invoice by fiat, so payment continues to happen only at checkout.</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Voiding is a different matter. A purchase order is the buyer own document, and an invoice raised in error has to be retractable - otherwise the order can never be closed. The void control belongs to the order creator.</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Q8 — Do line items stay editable after money has been collected?</w:t>
      </w:r>
    </w:p>
    <w:p>
      <w:pPr>
        <w:spacing w:after="200"/>
      </w:pPr>
      <w:r>
        <w:rPr>
          <w:b w:val="0"/>
          <w:i w:val="0"/>
          <w:color w:val="606060"/>
          <w:sz w:val="20"/>
        </w:rPr>
        <w:t xml:space="preserve">Spec reference: </w:t>
      </w:r>
      <w:r>
        <w:rPr>
          <w:b/>
          <w:i w:val="0"/>
          <w:color w:val="606060"/>
          <w:sz w:val="20"/>
        </w:rPr>
        <w:t>§5.2</w:t>
      </w:r>
      <w:r>
        <w:rPr>
          <w:b w:val="0"/>
          <w:i w:val="0"/>
          <w:sz w:val="20"/>
        </w:rPr>
        <w:t xml:space="preserve">     </w:t>
      </w:r>
      <w:r>
        <w:rPr>
          <w:b/>
          <w:i w:val="0"/>
          <w:color w:val="606060"/>
          <w:sz w:val="20"/>
        </w:rPr>
        <w:t>Not blocking</w:t>
      </w:r>
    </w:p>
    <w:p>
      <w:pPr>
        <w:pBdr>
          <w:left w:val="single" w:sz="18" w:space="4" w:color="9DB2CE"/>
        </w:pBdr>
        <w:shd w:val="clear" w:color="auto" w:fill="F2F5FA"/>
        <w:spacing w:before="120" w:after="200"/>
        <w:ind w:left="403" w:right="288"/>
      </w:pPr>
      <w:r>
        <w:rPr>
          <w:b w:val="0"/>
          <w:i/>
          <w:color w:val="606060"/>
        </w:rPr>
        <w:t>Rows stay editable after the order is sent, until it is Completed or Cancelled. Only Buyer/Seller Info locks on send.</w:t>
      </w:r>
    </w:p>
    <w:p>
      <w:pPr>
        <w:spacing w:after="160"/>
      </w:pPr>
      <w:r>
        <w:rPr>
          <w:b w:val="0"/>
          <w:i w:val="0"/>
        </w:rPr>
        <w:t xml:space="preserve">Read literally, that includes an order with a </w:t>
      </w:r>
      <w:r>
        <w:rPr>
          <w:b/>
          <w:i w:val="0"/>
        </w:rPr>
        <w:t>fully paid</w:t>
      </w:r>
      <w:r>
        <w:rPr>
          <w:b w:val="0"/>
          <w:i w:val="0"/>
        </w:rPr>
        <w:t xml:space="preserve"> invoice against it. We believe that is deliberate — it is exactly what makes the Overpaid state in §5.4 reachable, since overpaid arises only by </w:t>
      </w:r>
      <w:r>
        <w:rPr>
          <w:b w:val="0"/>
          <w:i/>
        </w:rPr>
        <w:t>reducing an order after money has been collected</w:t>
      </w:r>
      <w:r>
        <w:rPr>
          <w:b w:val="0"/>
          <w:i w:val="0"/>
        </w:rPr>
        <w:t>.</w:t>
      </w:r>
    </w:p>
    <w:p>
      <w:pPr>
        <w:spacing w:after="200"/>
      </w:pPr>
      <w:r>
        <w:rPr>
          <w:b w:val="0"/>
          <w:i w:val="0"/>
        </w:rPr>
        <w:t>We have implemented it that way. We are asking you to confirm, because it is the kind of rule that looks like a bug to a reviewer who has not read §5.4.</w:t>
      </w: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A — Confirmed.</w:t>
      </w:r>
      <w:r>
        <w:rPr>
          <w:b w:val="0"/>
          <w:i w:val="0"/>
        </w:rPr>
        <w:t xml:space="preserve"> Editing stays open until the order is Completed or Cancelled, even when a paid invoice sits against it.</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No</w:t>
      </w:r>
      <w:r>
        <w:rPr>
          <w:b w:val="0"/>
          <w:i w:val="0"/>
        </w:rPr>
        <w:t xml:space="preserve"> — the product table should lock at some earlier point. Please say when.</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A - confirmed, and deliberate.</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Editing stays open until the order is Completed or Cancelled, even with a paid invoice against it. It is the only way the Overpaid state in §5.4 can be reached, since overpaid arises precisely by reducing an order after money has been collected. Worth calling out in the spec so a later reviewer does not file it as a bug.</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One caveat to add: an order that already has a paid invoice against it cannot be cancelled.</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Q9 — Order Report design references — a correction to confirm</w:t>
      </w:r>
    </w:p>
    <w:p>
      <w:pPr>
        <w:spacing w:after="200"/>
      </w:pPr>
      <w:r>
        <w:rPr>
          <w:b w:val="0"/>
          <w:i w:val="0"/>
          <w:color w:val="606060"/>
          <w:sz w:val="20"/>
        </w:rPr>
        <w:t xml:space="preserve">Spec reference: </w:t>
      </w:r>
      <w:r>
        <w:rPr>
          <w:b/>
          <w:i w:val="0"/>
          <w:color w:val="606060"/>
          <w:sz w:val="20"/>
        </w:rPr>
        <w:t>§9</w:t>
      </w:r>
      <w:r>
        <w:rPr>
          <w:b w:val="0"/>
          <w:i w:val="0"/>
          <w:sz w:val="20"/>
        </w:rPr>
        <w:t xml:space="preserve">     </w:t>
      </w:r>
      <w:r>
        <w:rPr>
          <w:b/>
          <w:i w:val="0"/>
          <w:color w:val="606060"/>
          <w:sz w:val="20"/>
        </w:rPr>
        <w:t>Not blocking</w:t>
      </w:r>
    </w:p>
    <w:p>
      <w:pPr>
        <w:spacing w:after="160"/>
      </w:pPr>
      <w:r>
        <w:rPr>
          <w:b w:val="0"/>
          <w:i w:val="0"/>
        </w:rPr>
        <w:t xml:space="preserve">The three design references cited in §9 — </w:t>
      </w:r>
      <w:r>
        <w:rPr>
          <w:b/>
          <w:i w:val="0"/>
        </w:rPr>
        <w:t>4072:99011, 4072:99211, 4072:99053</w:t>
      </w:r>
      <w:r>
        <w:rPr>
          <w:b w:val="0"/>
          <w:i w:val="0"/>
        </w:rPr>
        <w:t xml:space="preserve"> — </w:t>
      </w:r>
      <w:r>
        <w:rPr>
          <w:b/>
          <w:i w:val="0"/>
        </w:rPr>
        <w:t>do not exist</w:t>
      </w:r>
      <w:r>
        <w:rPr>
          <w:b w:val="0"/>
          <w:i w:val="0"/>
        </w:rPr>
        <w:t xml:space="preserve"> in the Figma file we were given. We found the Order Report elsewhere in that file and built against these frames instead:</w:t>
      </w:r>
    </w:p>
    <w:tbl>
      <w:tblPr>
        <w:tblStyle w:val="TableGrid"/>
        <w:tblW w:w="9216" w:type="dxa"/>
        <w:jc w:val="left"/>
        <w:tblLayout w:type="fixed"/>
        <w:tblLook w:firstColumn="1" w:firstRow="1" w:lastColumn="0" w:lastRow="0" w:noHBand="0" w:noVBand="1" w:val="04A0"/>
      </w:tblPr>
      <w:tblGrid>
        <w:gridCol w:w="1944"/>
        <w:gridCol w:w="1512"/>
        <w:gridCol w:w="5760"/>
      </w:tblGrid>
      <w:tr>
        <w:trPr>
          <w:tblHeader/>
          <w:cantSplit/>
        </w:trPr>
        <w:tc>
          <w:tcPr>
            <w:tcW w:type="dxa" w:w="1944"/>
            <w:shd w:val="clear" w:color="auto" w:fill="E8EDF5"/>
            <w:tcMar>
              <w:top w:w="70" w:type="dxa"/>
              <w:left w:w="140" w:type="dxa"/>
              <w:bottom w:w="70" w:type="dxa"/>
              <w:right w:w="140" w:type="dxa"/>
            </w:tcMar>
          </w:tcPr>
          <w:p>
            <w:pPr>
              <w:keepNext/>
              <w:spacing w:after="0"/>
            </w:pPr>
            <w:r/>
            <w:r>
              <w:rPr>
                <w:b/>
                <w:i w:val="0"/>
                <w:color w:val="1F3864"/>
                <w:sz w:val="20"/>
              </w:rPr>
              <w:t>Screen</w:t>
            </w:r>
          </w:p>
        </w:tc>
        <w:tc>
          <w:tcPr>
            <w:tcW w:type="dxa" w:w="1512"/>
            <w:shd w:val="clear" w:color="auto" w:fill="E8EDF5"/>
            <w:tcMar>
              <w:top w:w="70" w:type="dxa"/>
              <w:left w:w="140" w:type="dxa"/>
              <w:bottom w:w="70" w:type="dxa"/>
              <w:right w:w="140" w:type="dxa"/>
            </w:tcMar>
          </w:tcPr>
          <w:p>
            <w:pPr>
              <w:keepNext/>
              <w:spacing w:after="0"/>
            </w:pPr>
            <w:r/>
            <w:r>
              <w:rPr>
                <w:b/>
                <w:i w:val="0"/>
                <w:color w:val="1F3864"/>
                <w:sz w:val="20"/>
              </w:rPr>
              <w:t>Frame</w:t>
            </w:r>
          </w:p>
        </w:tc>
        <w:tc>
          <w:tcPr>
            <w:tcW w:type="dxa" w:w="5760"/>
            <w:shd w:val="clear" w:color="auto" w:fill="E8EDF5"/>
            <w:tcMar>
              <w:top w:w="70" w:type="dxa"/>
              <w:left w:w="140" w:type="dxa"/>
              <w:bottom w:w="70" w:type="dxa"/>
              <w:right w:w="140" w:type="dxa"/>
            </w:tcMar>
          </w:tcPr>
          <w:p>
            <w:pPr>
              <w:keepNext/>
              <w:spacing w:after="0"/>
            </w:pPr>
            <w:r/>
            <w:r>
              <w:rPr>
                <w:b/>
                <w:i w:val="0"/>
                <w:color w:val="1F3864"/>
                <w:sz w:val="20"/>
              </w:rPr>
              <w:t>Link</w:t>
            </w:r>
          </w:p>
        </w:tc>
      </w:tr>
      <w:tr>
        <w:trPr>
          <w:cantSplit/>
        </w:trPr>
        <w:tc>
          <w:tcPr>
            <w:tcW w:type="dxa" w:w="1944"/>
            <w:tcMar>
              <w:top w:w="60" w:type="dxa"/>
              <w:left w:w="140" w:type="dxa"/>
              <w:bottom w:w="60" w:type="dxa"/>
              <w:right w:w="140" w:type="dxa"/>
            </w:tcMar>
          </w:tcPr>
          <w:p>
            <w:pPr>
              <w:spacing w:after="0"/>
            </w:pPr>
            <w:r/>
            <w:r>
              <w:rPr>
                <w:b w:val="0"/>
                <w:i w:val="0"/>
                <w:sz w:val="20"/>
              </w:rPr>
              <w:t>Settlement</w:t>
            </w:r>
          </w:p>
        </w:tc>
        <w:tc>
          <w:tcPr>
            <w:tcW w:type="dxa" w:w="1512"/>
            <w:tcMar>
              <w:top w:w="60" w:type="dxa"/>
              <w:left w:w="140" w:type="dxa"/>
              <w:bottom w:w="60" w:type="dxa"/>
              <w:right w:w="140" w:type="dxa"/>
            </w:tcMar>
          </w:tcPr>
          <w:p>
            <w:pPr>
              <w:spacing w:after="0"/>
            </w:pPr>
            <w:r/>
            <w:r>
              <w:rPr>
                <w:b w:val="0"/>
                <w:i w:val="0"/>
                <w:sz w:val="20"/>
              </w:rPr>
              <w:t>7017:1308</w:t>
            </w:r>
          </w:p>
        </w:tc>
        <w:tc>
          <w:tcPr>
            <w:tcW w:type="dxa" w:w="5760"/>
            <w:tcMar>
              <w:top w:w="60" w:type="dxa"/>
              <w:left w:w="140" w:type="dxa"/>
              <w:bottom w:w="60" w:type="dxa"/>
              <w:right w:w="140" w:type="dxa"/>
            </w:tcMar>
          </w:tcPr>
          <w:p>
            <w:pPr>
              <w:spacing w:after="0"/>
            </w:pPr>
            <w:r/>
            <w:r>
              <w:rPr>
                <w:b w:val="0"/>
                <w:i w:val="0"/>
                <w:sz w:val="20"/>
              </w:rPr>
              <w:t>figma.com/design/eX8Lc53tVFuY2QEDW4t1QT/…?node-id=7017-1308</w:t>
            </w:r>
          </w:p>
        </w:tc>
      </w:tr>
      <w:tr>
        <w:trPr>
          <w:cantSplit/>
        </w:trPr>
        <w:tc>
          <w:tcPr>
            <w:tcW w:type="dxa" w:w="1944"/>
            <w:tcMar>
              <w:top w:w="60" w:type="dxa"/>
              <w:left w:w="140" w:type="dxa"/>
              <w:bottom w:w="60" w:type="dxa"/>
              <w:right w:w="140" w:type="dxa"/>
            </w:tcMar>
          </w:tcPr>
          <w:p>
            <w:pPr>
              <w:spacing w:after="0"/>
            </w:pPr>
            <w:r/>
            <w:r>
              <w:rPr>
                <w:b w:val="0"/>
                <w:i w:val="0"/>
                <w:sz w:val="20"/>
              </w:rPr>
              <w:t>Payments</w:t>
            </w:r>
          </w:p>
        </w:tc>
        <w:tc>
          <w:tcPr>
            <w:tcW w:type="dxa" w:w="1512"/>
            <w:tcMar>
              <w:top w:w="60" w:type="dxa"/>
              <w:left w:w="140" w:type="dxa"/>
              <w:bottom w:w="60" w:type="dxa"/>
              <w:right w:w="140" w:type="dxa"/>
            </w:tcMar>
          </w:tcPr>
          <w:p>
            <w:pPr>
              <w:spacing w:after="0"/>
            </w:pPr>
            <w:r/>
            <w:r>
              <w:rPr>
                <w:b w:val="0"/>
                <w:i w:val="0"/>
                <w:sz w:val="20"/>
              </w:rPr>
              <w:t>7017:1508</w:t>
            </w:r>
          </w:p>
        </w:tc>
        <w:tc>
          <w:tcPr>
            <w:tcW w:type="dxa" w:w="5760"/>
            <w:tcMar>
              <w:top w:w="60" w:type="dxa"/>
              <w:left w:w="140" w:type="dxa"/>
              <w:bottom w:w="60" w:type="dxa"/>
              <w:right w:w="140" w:type="dxa"/>
            </w:tcMar>
          </w:tcPr>
          <w:p>
            <w:pPr>
              <w:spacing w:after="0"/>
            </w:pPr>
            <w:r/>
            <w:r>
              <w:rPr>
                <w:b w:val="0"/>
                <w:i w:val="0"/>
                <w:sz w:val="20"/>
              </w:rPr>
              <w:t>figma.com/design/eX8Lc53tVFuY2QEDW4t1QT/…?node-id=7017-1508</w:t>
            </w:r>
          </w:p>
        </w:tc>
      </w:tr>
      <w:tr>
        <w:trPr>
          <w:cantSplit/>
        </w:trPr>
        <w:tc>
          <w:tcPr>
            <w:tcW w:type="dxa" w:w="1944"/>
            <w:tcMar>
              <w:top w:w="60" w:type="dxa"/>
              <w:left w:w="140" w:type="dxa"/>
              <w:bottom w:w="60" w:type="dxa"/>
              <w:right w:w="140" w:type="dxa"/>
            </w:tcMar>
          </w:tcPr>
          <w:p>
            <w:pPr>
              <w:spacing w:after="0"/>
            </w:pPr>
            <w:r/>
            <w:r>
              <w:rPr>
                <w:b w:val="0"/>
                <w:i w:val="0"/>
                <w:sz w:val="20"/>
              </w:rPr>
              <w:t>Date picker, open</w:t>
            </w:r>
          </w:p>
        </w:tc>
        <w:tc>
          <w:tcPr>
            <w:tcW w:type="dxa" w:w="1512"/>
            <w:tcMar>
              <w:top w:w="60" w:type="dxa"/>
              <w:left w:w="140" w:type="dxa"/>
              <w:bottom w:w="60" w:type="dxa"/>
              <w:right w:w="140" w:type="dxa"/>
            </w:tcMar>
          </w:tcPr>
          <w:p>
            <w:pPr>
              <w:spacing w:after="0"/>
            </w:pPr>
            <w:r/>
            <w:r>
              <w:rPr>
                <w:b w:val="0"/>
                <w:i w:val="0"/>
                <w:sz w:val="20"/>
              </w:rPr>
              <w:t>7017:1350</w:t>
            </w:r>
          </w:p>
        </w:tc>
        <w:tc>
          <w:tcPr>
            <w:tcW w:type="dxa" w:w="5760"/>
            <w:tcMar>
              <w:top w:w="60" w:type="dxa"/>
              <w:left w:w="140" w:type="dxa"/>
              <w:bottom w:w="60" w:type="dxa"/>
              <w:right w:w="140" w:type="dxa"/>
            </w:tcMar>
          </w:tcPr>
          <w:p>
            <w:pPr>
              <w:spacing w:after="0"/>
            </w:pPr>
            <w:r/>
            <w:r>
              <w:rPr>
                <w:b w:val="0"/>
                <w:i w:val="0"/>
                <w:sz w:val="20"/>
              </w:rPr>
              <w:t>figma.com/design/eX8Lc53tVFuY2QEDW4t1QT/…?node-id=7017-1350</w:t>
            </w:r>
          </w:p>
        </w:tc>
      </w:tr>
    </w:tbl>
    <w:p>
      <w:pPr>
        <w:spacing w:after="80"/>
      </w:pPr>
    </w:p>
    <w:p>
      <w:pPr>
        <w:spacing w:after="100"/>
        <w:ind w:left="461" w:hanging="461"/>
      </w:pPr>
      <w:r>
        <w:rPr>
          <w:b/>
          <w:rFonts w:ascii="Segoe UI Symbol" w:hAnsi="Segoe UI Symbol" w:eastAsia="Segoe UI Symbol"/>
          <w:i w:val="0"/>
          <w:sz w:val="26"/>
          <w:color w:val="1D6F42"/>
        </w:rPr>
        <w:t>X</w:t>
      </w:r>
      <w:r>
        <w:rPr>
          <w:b w:val="0"/>
          <w:i w:val="0"/>
        </w:rPr>
        <w:t xml:space="preserve">   </w:t>
      </w:r>
      <w:r>
        <w:rPr>
          <w:b/>
          <w:i w:val="0"/>
        </w:rPr>
        <w:t>A — Confirmed.</w:t>
      </w:r>
      <w:r>
        <w:rPr>
          <w:b w:val="0"/>
          <w:i w:val="0"/>
        </w:rPr>
        <w:t xml:space="preserve"> The 4072 references came from an earlier file; the frames above are the intended design.</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No</w:t>
      </w:r>
      <w:r>
        <w:rPr>
          <w:b w:val="0"/>
          <w:i w:val="0"/>
        </w:rPr>
        <w:t xml:space="preserve"> — the 4072 frames are newer and live somewhere else. Please send us the file link.</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A - confirmed.</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 4072 node IDs are real, but they belong to file 9aWtR6gPo1PTqt1LbGr31g. You are building from eX8Lc53tVFuY2QEDW4t1QT. They are two different files with different node IDs, so your 7017 frames are the correct references for the file you have.</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The spec should have cited the file key alongside every node ID. That will be corrected.</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Anything else</w:t>
      </w:r>
    </w:p>
    <w:p>
      <w:pPr>
        <w:spacing w:after="160"/>
      </w:pPr>
      <w:r>
        <w:rPr>
          <w:b w:val="0"/>
          <w:i w:val="0"/>
        </w:rPr>
        <w:t>If reviewing these surfaced something we have not asked about — a rule you expected to see questioned, or a decision you would like revisited — please put it here.</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Pr>
                <w:b/>
                <w:i w:val="0"/>
                <w:color w:val="1D2939"/>
              </w:rPr>
              <w:t xml:space="preserve">Three of the answers above change behaviour that the handover currently specifies. Flagging them so they are not missed:</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Q7 - Void Invoice must be added to purchase invoices. §6 currently says download icon only, which leaves an erroneous purchase invoice with no way out.</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Q8 - Cancel Order must be blocked once any invoice on the order has been paid. §6 currently allows cancelling at any point before completion.</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Q3b - settlement rows start at Pending and are settled by the LINKZ admin. The handover implied rows could be written as settled immediately; they cannot.</w:t>
            </w:r>
          </w:p>
          <w:p xmlns:w="http://schemas.openxmlformats.org/wordprocessingml/2006/main">
            <w:pPr xmlns:w="http://schemas.openxmlformats.org/wordprocessingml/2006/main">
              <w:spacing w:after="0"/>
            </w:pPr>
          </w:p>
          <w:p xmlns:w="http://schemas.openxmlformats.org/wordprocessingml/2006/main">
            <w:pPr xmlns:w="http://schemas.openxmlformats.org/wordprocessingml/2006/main">
              <w:spacing w:after="0"/>
            </w:pPr>
            <w:r>
              <w:rPr>
                <w:b w:val="0"/>
                <w:i w:val="0"/>
                <w:color w:val="1D2939"/>
              </w:rPr>
              <w:t xml:space="preserve">Everything else above confirms what you have already built.</w:t>
            </w:r>
          </w:p>
          <w:p>
            <w:pPr>
              <w:spacing w:after="0"/>
            </w:pPr>
          </w:p>
          <w:p>
            <w:pPr>
              <w:spacing w:after="0"/>
            </w:pPr>
          </w:p>
          <w:p>
            <w:pPr>
              <w:spacing w:after="0"/>
            </w:pPr>
          </w:p>
          <w:p>
            <w:pPr>
              <w:spacing w:after="0"/>
            </w:pPr>
          </w:p>
        </w:tc>
      </w:tr>
    </w:tbl>
    <w:p>
      <w:pPr>
        <w:spacing w:after="80"/>
      </w:pPr>
    </w:p>
    <w:p>
      <w:pPr>
        <w:spacing w:after="120"/>
      </w:pPr>
    </w:p>
    <w:p>
      <w:pPr>
        <w:pBdr>
          <w:bottom w:val="single" w:sz="6" w:space="4" w:color="D0D0D0"/>
        </w:pBdr>
        <w:spacing w:before="40" w:after="40"/>
      </w:pPr>
    </w:p>
    <w:tbl>
      <w:tblPr>
        <w:tblW w:w="9288" w:type="dxa"/>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1872"/>
        <w:gridCol w:w="7416"/>
      </w:tblGrid>
      <w:tr>
        <w:tc>
          <w:tcPr>
            <w:tcW w:type="dxa" w:w="1872"/>
            <w:tcMar>
              <w:top w:w="60" w:type="dxa"/>
              <w:left w:w="0" w:type="dxa"/>
              <w:bottom w:w="60" w:type="dxa"/>
              <w:right w:w="80" w:type="dxa"/>
            </w:tcMar>
          </w:tcPr>
          <w:p>
            <w:pPr>
              <w:spacing w:after="0"/>
            </w:pPr>
            <w:r/>
            <w:r>
              <w:rPr>
                <w:b/>
                <w:i w:val="0"/>
                <w:color w:val="1F3864"/>
                <w:sz w:val="21"/>
              </w:rPr>
              <w:t>Answered by</w:t>
            </w:r>
          </w:p>
        </w:tc>
        <w:tc>
          <w:tcPr>
            <w:tcW w:type="dxa" w:w="7416"/>
            <w:tcMar>
              <w:top w:w="60" w:type="dxa"/>
              <w:left w:w="0" w:type="dxa"/>
              <w:bottom w:w="60" w:type="dxa"/>
              <w:right w:w="80" w:type="dxa"/>
            </w:tcMar>
          </w:tcPr>
          <w:p>
            <w:pPr>
              <w:spacing w:after="0"/>
            </w:pPr>
            <w:r>
              <w:rPr>
                <w:b/>
                <w:color w:val="1D2939"/>
              </w:rPr>
              <w:t xml:space="preserve">Sanders</w:t>
            </w:r>
          </w:p>
        </w:tc>
      </w:tr>
      <w:tr>
        <w:tc>
          <w:tcPr>
            <w:tcW w:type="dxa" w:w="1872"/>
            <w:tcMar>
              <w:top w:w="60" w:type="dxa"/>
              <w:left w:w="0" w:type="dxa"/>
              <w:bottom w:w="60" w:type="dxa"/>
              <w:right w:w="80" w:type="dxa"/>
            </w:tcMar>
          </w:tcPr>
          <w:p>
            <w:pPr>
              <w:spacing w:after="0"/>
            </w:pPr>
            <w:r/>
            <w:r>
              <w:rPr>
                <w:b/>
                <w:i w:val="0"/>
                <w:color w:val="1F3864"/>
                <w:sz w:val="21"/>
              </w:rPr>
              <w:t>Date</w:t>
            </w:r>
          </w:p>
        </w:tc>
        <w:tc>
          <w:tcPr>
            <w:tcW w:type="dxa" w:w="7416"/>
            <w:tcMar>
              <w:top w:w="60" w:type="dxa"/>
              <w:left w:w="0" w:type="dxa"/>
              <w:bottom w:w="60" w:type="dxa"/>
              <w:right w:w="80" w:type="dxa"/>
            </w:tcMar>
          </w:tcPr>
          <w:p>
            <w:pPr>
              <w:spacing w:after="0"/>
            </w:pPr>
            <w:r>
              <w:rPr>
                <w:b/>
                <w:color w:val="1D2939"/>
              </w:rPr>
              <w:t xml:space="preserve">2 September 2026</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b w:val="0"/>
        <w:i w:val="0"/>
        <w:color w:val="606060"/>
        <w:sz w:val="18"/>
      </w:rPr>
      <w:t xml:space="preserve">Order module — open questions      </w:t>
    </w:r>
    <w:r>
      <w:rPr>
        <w:color w:val="60606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i w:val="0"/>
      <w:color w:val="1F3864"/>
      <w:sz w:val="40"/>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i w:val="0"/>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