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80faea005d7416b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ackground.png"/>
                    <pic:cNvPicPr/>
                  </pic:nvPicPr>
                  <pic:blipFill>
                    <a:blip r:embed="R9db108714f9d4bbd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3200"/>
      </w:pPr>
      <w:r/>
    </w:p>
    <w:p>
      <w:pPr>
        <w:spacing w:after="300"/>
        <w:jc w:val="center"/>
      </w:pPr>
      <w:r>
        <w:rPr>
          <w:caps/>
          <w:color w:val="FFFFFF"/>
          <w:sz w:val="40"/>
        </w:rPr>
        <w:t>ЭКСПЕРТНЫЙ АУДИТ</w:t>
      </w:r>
    </w:p>
    <w:p>
      <w:pPr>
        <w:spacing w:after="160"/>
        <w:jc w:val="center"/>
      </w:pPr>
      <w:r>
        <w:rPr>
          <w:rFonts w:ascii="Calibri Light" w:hAnsi="Calibri Light"/>
          <w:b/>
          <w:color w:val="FFFFFF"/>
          <w:sz w:val="96"/>
        </w:rPr>
        <w:t>AKMEHR.RU</w:t>
      </w:r>
    </w:p>
    <w:p>
      <w:pPr>
        <w:spacing w:after="500"/>
        <w:jc w:val="center"/>
      </w:pPr>
      <w:r>
        <w:rPr>
          <w:color w:val="B0C4DE"/>
          <w:sz w:val="32"/>
        </w:rPr>
        <w:t>Стратегия + Технология + Юридика + Конверсия</w:t>
      </w:r>
    </w:p>
    <w:p>
      <w:pPr>
        <w:spacing w:after="100"/>
        <w:jc w:val="center"/>
      </w:pPr>
      <w:r>
        <w:rPr>
          <w:color w:val="FFFFFF"/>
          <w:sz w:val="36"/>
        </w:rPr>
        <w:t>Итоговая оценка</w:t>
      </w:r>
    </w:p>
    <w:p>
      <w:pPr>
        <w:spacing w:after="2400"/>
        <w:jc w:val="center"/>
      </w:pPr>
      <w:r>
        <w:rPr>
          <w:b/>
          <w:color w:val="E07B39"/>
          <w:sz w:val="96"/>
        </w:rPr>
        <w:t>5.2</w:t>
      </w:r>
      <w:r>
        <w:rPr>
          <w:color w:val="B0C4DE"/>
          <w:sz w:val="48"/>
        </w:rPr>
        <w:t>/10</w:t>
      </w:r>
    </w:p>
    <w:p>
      <w:pPr>
        <w:jc w:val="center"/>
      </w:pPr>
      <w:r>
        <w:rPr>
          <w:color w:val="90A4AE"/>
          <w:sz w:val="28"/>
        </w:rPr>
        <w:t>Апрель 2025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bookmarkStart w:name="_Toc000" w:id="0"/>
      <w:r>
        <w:t>Содержание</w:t>
      </w:r>
      <w:bookmarkEnd w:id="0"/>
    </w:p>
    <w:p>
      <w:pPr>
        <w:spacing w:after="200"/>
      </w:pPr>
      <w:r>
        <w:rPr>
          <w:color w:val="718096"/>
          <w:sz w:val="20"/>
        </w:rPr>
        <w:t>(При первом открытии: правый клик по содержанию → Обновить поле)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Executive Summary</w:t>
      </w:r>
      <w:r>
        <w:tab/>
      </w:r>
      <w:r>
        <w:t>3</w:t>
      </w:r>
    </w:p>
    <w:p>
      <w:pPr>
        <w:pStyle w:val="TOC1"/>
      </w:pPr>
      <w:r>
        <w:t>1. Стратегический анализ</w:t>
      </w:r>
      <w:r>
        <w:tab/>
      </w:r>
      <w:r>
        <w:t>3</w:t>
      </w:r>
    </w:p>
    <w:p>
      <w:pPr>
        <w:pStyle w:val="TOC1"/>
      </w:pPr>
      <w:r>
        <w:t>2. UX/UI и воронка конверсии</w:t>
      </w:r>
      <w:r>
        <w:tab/>
      </w:r>
      <w:r>
        <w:t>4</w:t>
      </w:r>
    </w:p>
    <w:p>
      <w:pPr>
        <w:pStyle w:val="TOC1"/>
      </w:pPr>
      <w:r>
        <w:t>3. Технологическая зрелость</w:t>
      </w:r>
      <w:r>
        <w:tab/>
      </w:r>
      <w:r>
        <w:t>5</w:t>
      </w:r>
    </w:p>
    <w:p>
      <w:pPr>
        <w:pStyle w:val="TOC1"/>
      </w:pPr>
      <w:r>
        <w:t>4. Юридическая безопасность</w:t>
      </w:r>
      <w:r>
        <w:tab/>
      </w:r>
      <w:r>
        <w:t>6</w:t>
      </w:r>
    </w:p>
    <w:p>
      <w:pPr>
        <w:pStyle w:val="TOC1"/>
      </w:pPr>
      <w:r>
        <w:t>5. Доверие и репутация</w:t>
      </w:r>
      <w:r>
        <w:tab/>
      </w:r>
      <w:r>
        <w:t>6</w:t>
      </w:r>
    </w:p>
    <w:p>
      <w:pPr>
        <w:pStyle w:val="TOC1"/>
      </w:pPr>
      <w:r>
        <w:t>6. Системные риски</w:t>
      </w:r>
      <w:r>
        <w:tab/>
      </w:r>
      <w:r>
        <w:t>7</w:t>
      </w:r>
    </w:p>
    <w:p>
      <w:pPr>
        <w:pStyle w:val="TOC1"/>
      </w:pPr>
      <w:r>
        <w:t>7. Дорожная карта трансформации</w:t>
      </w:r>
      <w:r>
        <w:tab/>
      </w:r>
      <w:r>
        <w:t>8</w:t>
      </w:r>
    </w:p>
    <w:p>
      <w:pPr>
        <w:pStyle w:val="TOC1"/>
      </w:pPr>
      <w:r>
        <w:t>8. Итоговая матрица оценок</w:t>
      </w:r>
      <w:r>
        <w:tab/>
      </w:r>
      <w:r>
        <w:t>9</w:t>
      </w:r>
    </w:p>
    <w:p>
      <w:pPr>
        <w:pStyle w:val="TOC1"/>
      </w:pPr>
      <w:r>
        <w:t>Заключение</w:t>
      </w:r>
      <w:r>
        <w:tab/>
      </w:r>
      <w:r>
        <w:t>10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080" w:bottom="1440" w:left="1080" w:header="720" w:footer="720"/>
        </w:sectPr>
      </w:pPr>
    </w:p>
    <w:p>
      <w:pPr>
        <w:pStyle w:val="Heading1"/>
      </w:pPr>
      <w:bookmarkStart w:name="_Toc001" w:id="001"/>
      <w:r>
        <w:t>Executive Summary</w:t>
      </w:r>
      <w:bookmarkEnd w:id="001"/>
    </w:p>
    <w:p>
      <w:pPr>
        <w:pBdr>
          <w:left w:val="single" w:color="2D5A87" w:sz="24" w:space="8"/>
        </w:pBdr>
        <w:shd w:val="clear" w:fill="EBF5FF"/>
        <w:spacing w:before="200" w:after="240"/>
        <w:ind w:left="160" w:firstLine="0"/>
      </w:pPr>
      <w:r>
        <w:rPr>
          <w:b/>
          <w:color w:val="1E3A5F"/>
        </w:rPr>
        <w:t>Диссонанс Инновации и Исполнения: </w:t>
      </w:r>
      <w:r>
        <w:t>AKMEHR — это попытка упаковать высокую научную методологию (акмеология, MBTI) в цифровой продукт класса Enterprise SaaS. Однако между стратегической амбицией (AI-driven Human Potential Management) и тактической реализацией (лендинг на Tilda с Gmail-контактом) образуется критический разрыв доверия.</w:t>
      </w:r>
    </w:p>
    <w:p>
      <w:pPr>
        <w:pBdr>
          <w:left w:val="single" w:color="E07B39" w:sz="24" w:space="8"/>
        </w:pBdr>
        <w:shd w:val="clear" w:fill="FFF3E0"/>
        <w:spacing w:before="200" w:after="240"/>
        <w:ind w:left="160" w:firstLine="0"/>
      </w:pPr>
      <w:r>
        <w:rPr>
          <w:b/>
          <w:color w:val="E07B39"/>
        </w:rPr>
        <w:t>Вердикт: </w:t>
      </w:r>
      <w:r>
        <w:t>Платформа страдает от «синдрома стартапа-академика» — сильная экспертиза в предметной области разрушается базовыми ошибками цифровой гигиены.</w:t>
      </w:r>
    </w:p>
    <w:p>
      <w:pPr>
        <w:shd w:val="clear" w:fill="F5F5F5"/>
        <w:spacing w:before="240" w:after="160"/>
        <w:ind w:firstLine="0"/>
        <w:jc w:val="center"/>
      </w:pPr>
      <w:r>
        <w:rPr>
          <w:b/>
          <w:color w:val="E07B39"/>
          <w:sz w:val="72"/>
        </w:rPr>
        <w:t>5.2/10</w:t>
      </w:r>
    </w:p>
    <w:p>
      <w:pPr>
        <w:pStyle w:val="Heading1"/>
      </w:pPr>
      <w:bookmarkStart w:name="_Toc002" w:id="002"/>
      <w:r>
        <w:t>1. Стратегический анализ</w:t>
      </w:r>
      <w:bookmarkEnd w:id="002"/>
    </w:p>
    <w:p>
      <w:pPr>
        <w:pStyle w:val="Heading2"/>
      </w:pPr>
      <w:r>
        <w:t>Дифференциация: Высокая, но не доказанная</w:t>
      </w:r>
    </w:p>
    <w:p>
      <w:r>
        <w:t>Концепция акмеологического AI-HR уникальна для рынка РФ:</w:t>
      </w:r>
    </w:p>
    <w:p>
      <w:pPr>
        <w:numPr>
          <w:ilvl w:val="0"/>
          <w:numId w:val="1"/>
        </w:numPr>
        <w:spacing w:before="80" w:after="80"/>
      </w:pPr>
      <w:r>
        <w:t>Акмеология как научная база (РАНХиГС) — глубина, которой нет у конкурентов (Core, ИКРО, стандартные LMS)</w:t>
      </w:r>
    </w:p>
    <w:p>
      <w:pPr>
        <w:numPr>
          <w:ilvl w:val="0"/>
          <w:numId w:val="1"/>
        </w:numPr>
        <w:spacing w:before="80" w:after="80"/>
      </w:pPr>
      <w:r>
        <w:t>Нейро-сотрудники (AI-агенты для веб-аналитики поведения + персонализации продаж) — передовое применение behavioral analytics</w:t>
      </w:r>
    </w:p>
    <w:p>
      <w:pPr>
        <w:numPr>
          <w:ilvl w:val="0"/>
          <w:numId w:val="1"/>
        </w:numPr>
        <w:spacing w:before="80" w:after="80"/>
      </w:pPr>
      <w:r>
        <w:t>Симулятор управленческих решений — инструмент C-level, закрывающий gap между HR и бизнес-метриками</w:t>
      </w:r>
    </w:p>
    <w:p>
      <w:pPr>
        <w:pBdr>
          <w:left w:val="single" w:color="C62828" w:sz="24" w:space="8"/>
        </w:pBdr>
        <w:shd w:val="clear" w:fill="FFEBEE"/>
        <w:spacing w:before="200" w:after="240"/>
        <w:ind w:left="160" w:firstLine="0"/>
      </w:pPr>
      <w:r>
        <w:rPr>
          <w:b/>
          <w:color w:val="C62828"/>
        </w:rPr>
        <w:t>Критическая ошибка: </w:t>
      </w:r>
      <w:r>
        <w:t>Сайт позиционирует продукт как «платформу нового поколения», но использует лендинговую архитектуру, пригодную только для B2C-коучинга или пилотных B2B-продаж. Для Enterprise-сегмента (где решение принимается коллегиально и требует Due Diligence) это фатально.</w:t>
      </w:r>
    </w:p>
    <w:p>
      <w:pPr>
        <w:pStyle w:val="Heading1"/>
      </w:pPr>
      <w:bookmarkStart w:name="_Toc003" w:id="003"/>
      <w:r>
        <w:t>2. UX/UI и воронка конверсии</w:t>
      </w:r>
      <w:bookmarkEnd w:id="003"/>
    </w:p>
    <w:p>
      <w:pPr>
        <w:pStyle w:val="Heading2"/>
      </w:pPr>
      <w:r>
        <w:t>Архитектурный Провал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E0E0E0" w:sz="4"/>
          <w:insideV w:val="nil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3800"/>
        <w:gridCol w:w="1000"/>
      </w:tblGrid>
      <w:tr>
        <w:trPr>
          <w:tblHeader/>
          <w:trHeight w:val="360" w:hRule="atLeast"/>
        </w:trPr>
        <w:tc>
          <w:tcPr>
            <w:tcW w:w="2800" w:type="dxa"/>
            <w:shd w:val="clear" w:fill="E8EEF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b/>
                <w:color w:val="1E3A5F"/>
                <w:sz w:val="24"/>
              </w:rPr>
              <w:t>Проблема</w:t>
            </w:r>
          </w:p>
        </w:tc>
        <w:tc>
          <w:tcPr>
            <w:tcW w:w="3800" w:type="dxa"/>
            <w:shd w:val="clear" w:fill="E8EEF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b/>
                <w:color w:val="1E3A5F"/>
                <w:sz w:val="24"/>
              </w:rPr>
              <w:t>Последствие</w:t>
            </w:r>
          </w:p>
        </w:tc>
        <w:tc>
          <w:tcPr>
            <w:tcW w:w="1000" w:type="dxa"/>
            <w:shd w:val="clear" w:fill="E8EEF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b/>
                <w:color w:val="1E3A5F"/>
                <w:sz w:val="24"/>
              </w:rPr>
              <w:t>Уровень</w:t>
            </w:r>
          </w:p>
        </w:tc>
      </w:tr>
      <w:tr>
        <w:trPr>
          <w:trHeight w:val="320" w:hRule="atLeast"/>
        </w:trPr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Отсутствие навигации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Невозможно исследовать продукт системно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🔴 Крит</w:t>
            </w:r>
          </w:p>
        </w:tc>
      </w:tr>
      <w:tr>
        <w:trPr>
          <w:trHeight w:val="320" w:hRule="atLeast"/>
        </w:trPr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Нет структуры контента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6 модулей + нейро-сотрудники свалены в единый поток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🔴 Крит</w:t>
            </w:r>
          </w:p>
        </w:tc>
      </w:tr>
      <w:tr>
        <w:trPr>
          <w:trHeight w:val="320" w:hRule="atLeast"/>
        </w:trPr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Единственный CTA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«Записаться на консультацию» без объяснения, что дальше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🔴 Крит</w:t>
            </w:r>
          </w:p>
        </w:tc>
      </w:tr>
      <w:tr>
        <w:trPr>
          <w:trHeight w:val="320" w:hRule="atLeast"/>
        </w:trPr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Нет ценового якоря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Даже диапазон «от X руб» отсутствует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🟡 Выс</w:t>
            </w:r>
          </w:p>
        </w:tc>
      </w:tr>
      <w:tr>
        <w:trPr>
          <w:trHeight w:val="320" w:hRule="atLeast"/>
        </w:trPr>
        <w:tc>
          <w:tcPr>
            <w:tcW w:w="2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Отсутствие лид-магнитов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Нет возможности «попробовать легко»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🟡 Выс</w:t>
            </w:r>
          </w:p>
        </w:tc>
      </w:tr>
    </w:tbl>
    <w:p>
      <w:pPr>
        <w:pStyle w:val="Heading2"/>
      </w:pPr>
      <w:r>
        <w:t>Мобильная Версия: Провал Адаптивности</w:t>
      </w:r>
    </w:p>
    <w:p>
      <w:pPr>
        <w:numPr>
          <w:ilvl w:val="0"/>
          <w:numId w:val="1"/>
        </w:numPr>
        <w:spacing w:before="80" w:after="80"/>
      </w:pPr>
      <w:r>
        <w:t>Шапка съедает 30% экрана на мобильных</w:t>
      </w:r>
    </w:p>
    <w:p>
      <w:pPr>
        <w:numPr>
          <w:ilvl w:val="0"/>
          <w:numId w:val="1"/>
        </w:numPr>
        <w:spacing w:before="80" w:after="80"/>
      </w:pPr>
      <w:r>
        <w:t>70% B2B-трафика идет с мобильных устройств — сайт теряет большинство лидов на входе</w:t>
      </w:r>
    </w:p>
    <w:p>
      <w:pPr>
        <w:numPr>
          <w:ilvl w:val="0"/>
          <w:numId w:val="1"/>
        </w:numPr>
        <w:spacing w:before="80" w:after="80"/>
      </w:pPr>
      <w:r>
        <w:t>Текст не адаптирован для мобильного чтения (слишком длинные абзацы без аккордеонов)</w:t>
      </w:r>
    </w:p>
    <w:p>
      <w:pPr>
        <w:pStyle w:val="Heading1"/>
      </w:pPr>
      <w:bookmarkStart w:name="_Toc004" w:id="004"/>
      <w:r>
        <w:t>3. Технологическая зрелость</w:t>
      </w:r>
      <w:bookmarkEnd w:id="004"/>
    </w:p>
    <w:p>
      <w:pPr>
        <w:pStyle w:val="Heading2"/>
      </w:pPr>
      <w:r>
        <w:t>«Платформа на Tilda» — Оксюморон</w:t>
      </w:r>
    </w:p>
    <w:p>
      <w:r>
        <w:t>Использование Tilda для IT-продукта, декларирующего AI-интеграции и обработку Big Data — это сигнал несерьезности для CTO заказчика:</w:t>
      </w:r>
    </w:p>
    <w:p>
      <w:pPr>
        <w:numPr>
          <w:ilvl w:val="0"/>
          <w:numId w:val="1"/>
        </w:numPr>
        <w:spacing w:before="80" w:after="80"/>
      </w:pPr>
      <w:r>
        <w:t>Нет возможности создать защищенный личный кабинет клиента</w:t>
      </w:r>
    </w:p>
    <w:p>
      <w:pPr>
        <w:numPr>
          <w:ilvl w:val="0"/>
          <w:numId w:val="1"/>
        </w:numPr>
        <w:spacing w:before="80" w:after="80"/>
      </w:pPr>
      <w:r>
        <w:t>Ограниченные интеграции с корпоративными системами (1С, SAP, кастомные API)</w:t>
      </w:r>
    </w:p>
    <w:p>
      <w:pPr>
        <w:numPr>
          <w:ilvl w:val="0"/>
          <w:numId w:val="1"/>
        </w:numPr>
        <w:spacing w:before="80" w:after="80"/>
      </w:pPr>
      <w:r>
        <w:t>Сложности с SEO-оптимизацией под B2B-запросы</w:t>
      </w:r>
    </w:p>
    <w:p>
      <w:pPr>
        <w:pStyle w:val="Heading2"/>
      </w:pPr>
      <w:r>
        <w:t>Инфраструктурные Риски</w:t>
      </w:r>
    </w:p>
    <w:p>
      <w:pPr>
        <w:numPr>
          <w:ilvl w:val="0"/>
          <w:numId w:val="1"/>
        </w:numPr>
        <w:spacing w:before="80" w:after="80"/>
      </w:pPr>
      <w:r>
        <w:t>Хостинг: Не указано, где размещается платформа (требования 152-ФЗ к локализации данных с 01.07.2025)</w:t>
      </w:r>
    </w:p>
    <w:p>
      <w:pPr>
        <w:numPr>
          <w:ilvl w:val="0"/>
          <w:numId w:val="1"/>
        </w:numPr>
        <w:spacing w:before="80" w:after="80"/>
      </w:pPr>
      <w:r>
        <w:t>API и Интеграции: Отсутствует описание интеграций с ATS (HeadHunter), CRM (Битрикс24, amoCRM), мессенджерами</w:t>
      </w:r>
    </w:p>
    <w:p>
      <w:pPr>
        <w:numPr>
          <w:ilvl w:val="0"/>
          <w:numId w:val="1"/>
        </w:numPr>
        <w:spacing w:before="80" w:after="80"/>
      </w:pPr>
      <w:r>
        <w:t>Масштабируемость: Нет доказательств способности выдержать нагрузку Enterprise (1000+ сотрудников)</w:t>
      </w:r>
    </w:p>
    <w:p>
      <w:pPr>
        <w:pStyle w:val="Heading1"/>
      </w:pPr>
      <w:bookmarkStart w:name="_Toc005" w:id="005"/>
      <w:r>
        <w:t>4. Юридическая безопасность</w:t>
      </w:r>
      <w:bookmarkEnd w:id="005"/>
    </w:p>
    <w:p>
      <w:pPr>
        <w:pStyle w:val="Heading2"/>
      </w:pPr>
      <w:r>
        <w:t>Критические Пробелы (152-ФЗ, GDPR)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E0E0E0" w:sz="4"/>
          <w:insideV w:val="nil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00"/>
        <w:gridCol w:w="1800"/>
        <w:gridCol w:w="2600"/>
      </w:tblGrid>
      <w:tr>
        <w:trPr>
          <w:tblHeader/>
          <w:trHeight w:val="360" w:hRule="atLeast"/>
        </w:trPr>
        <w:tc>
          <w:tcPr>
            <w:tcW w:w="3200" w:type="dxa"/>
            <w:shd w:val="clear" w:fill="E8EEF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b/>
                <w:color w:val="1E3A5F"/>
                <w:sz w:val="24"/>
              </w:rPr>
              <w:t>Требование</w:t>
            </w:r>
          </w:p>
        </w:tc>
        <w:tc>
          <w:tcPr>
            <w:tcW w:w="1800" w:type="dxa"/>
            <w:shd w:val="clear" w:fill="E8EEF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b/>
                <w:color w:val="1E3A5F"/>
                <w:sz w:val="24"/>
              </w:rPr>
              <w:t>Статус</w:t>
            </w:r>
          </w:p>
        </w:tc>
        <w:tc>
          <w:tcPr>
            <w:tcW w:w="2600" w:type="dxa"/>
            <w:shd w:val="clear" w:fill="E8EEF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b/>
                <w:color w:val="1E3A5F"/>
                <w:sz w:val="24"/>
              </w:rPr>
              <w:t>Риск</w:t>
            </w:r>
          </w:p>
        </w:tc>
      </w:tr>
      <w:tr>
        <w:trPr>
          <w:trHeight w:val="320" w:hRule="atLeast"/>
        </w:trPr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Политика обработки ПДн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Отсутствует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Штраф до 500 тыс., блокировка</w:t>
            </w:r>
          </w:p>
        </w:tc>
      </w:tr>
      <w:tr>
        <w:trPr>
          <w:trHeight w:val="320" w:hRule="atLeast"/>
        </w:trPr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Согласие на псих. тестирование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Не предусмотрено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Спец. категории ПДн (здоровье/психика)</w:t>
            </w:r>
          </w:p>
        </w:tc>
      </w:tr>
      <w:tr>
        <w:trPr>
          <w:trHeight w:val="320" w:hRule="atLeast"/>
        </w:trPr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Оператор ПДн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Не указан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Невозможен контроль в Роскомнадзоре</w:t>
            </w:r>
          </w:p>
        </w:tc>
      </w:tr>
      <w:tr>
        <w:trPr>
          <w:trHeight w:val="320" w:hRule="atLeast"/>
        </w:trPr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SSL-сертификат и шифрование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Не индицируется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Перехват данных при передаче</w:t>
            </w:r>
          </w:p>
        </w:tc>
      </w:tr>
    </w:tbl>
    <w:p>
      <w:pPr>
        <w:pBdr>
          <w:left w:val="single" w:color="C62828" w:sz="24" w:space="8"/>
        </w:pBdr>
        <w:shd w:val="clear" w:fill="FFEBEE"/>
        <w:spacing w:before="200" w:after="240"/>
        <w:ind w:left="160" w:firstLine="0"/>
      </w:pPr>
      <w:r>
        <w:rPr>
          <w:b/>
          <w:color w:val="C62828"/>
        </w:rPr>
        <w:t>Контакты: Убийство Доверия: </w:t>
      </w:r>
      <w:r>
        <w:t>busuness292@gmail.com (с опечаткой «busuness» вместо «business») вместо корпоративного hello@akmehr.ru — это маркер любительского проекта, а не Enterprise-решения. Для B2B-продаж это автоматический отказ на этапе due diligence.</w:t>
      </w:r>
    </w:p>
    <w:p>
      <w:pPr>
        <w:pStyle w:val="Heading1"/>
      </w:pPr>
      <w:bookmarkStart w:name="_Toc006" w:id="006"/>
      <w:r>
        <w:t>5. Доверие и репутация</w:t>
      </w:r>
      <w:bookmarkEnd w:id="006"/>
    </w:p>
    <w:p>
      <w:pPr>
        <w:pStyle w:val="Heading2"/>
      </w:pPr>
      <w:r>
        <w:t>Отсутствие Ключевых Элементов</w:t>
      </w:r>
    </w:p>
    <w:p>
      <w:pPr>
        <w:spacing w:before="100" w:after="100"/>
        <w:ind w:left="540" w:hanging="270" w:firstLine="0"/>
      </w:pPr>
      <w:r>
        <w:rPr>
          <w:b/>
        </w:rPr>
        <w:t>Кейсы с цифрами: </w:t>
      </w:r>
      <w:r>
        <w:t>Нет доказательств «как росли KPI после внедрения»</w:t>
      </w:r>
    </w:p>
    <w:p>
      <w:pPr>
        <w:spacing w:before="100" w:after="100"/>
        <w:ind w:left="540" w:hanging="270" w:firstLine="0"/>
      </w:pPr>
      <w:r>
        <w:rPr>
          <w:b/>
        </w:rPr>
        <w:t>Команда: </w:t>
      </w:r>
      <w:r>
        <w:t>Нет фото и биографий основателей/акмеологов/AI-разработчиков — «чёрный ящик»</w:t>
      </w:r>
    </w:p>
    <w:p>
      <w:pPr>
        <w:spacing w:before="100" w:after="100"/>
        <w:ind w:left="540" w:hanging="270" w:firstLine="0"/>
      </w:pPr>
      <w:r>
        <w:rPr>
          <w:b/>
        </w:rPr>
        <w:t>Клиенты: </w:t>
      </w:r>
      <w:r>
        <w:t>Логотипы РАНХиГС, ТПП указаны, но неясно — партнёры это, клиенты или просто аффилиации?</w:t>
      </w:r>
    </w:p>
    <w:p>
      <w:pPr>
        <w:spacing w:before="100" w:after="100"/>
        <w:ind w:left="540" w:hanging="270" w:firstLine="0"/>
      </w:pPr>
      <w:r>
        <w:rPr>
          <w:b/>
        </w:rPr>
        <w:t>Отзывы: </w:t>
      </w:r>
      <w:r>
        <w:t>Полное отсутствие социального доказательства</w:t>
      </w:r>
    </w:p>
    <w:p>
      <w:pPr>
        <w:pStyle w:val="Heading2"/>
      </w:pPr>
      <w:r>
        <w:t>Контент-Маркетинг: Упущенный Трафик</w:t>
      </w:r>
    </w:p>
    <w:p>
      <w:r>
        <w:t>Для нишевой темы (акмеология + AI) отсутствие блога/статей — критично. Потенциальные запросы, по которым сайт не ранжируется:</w:t>
      </w:r>
    </w:p>
    <w:p>
      <w:pPr>
        <w:numPr>
          <w:ilvl w:val="0"/>
          <w:numId w:val="1"/>
        </w:numPr>
        <w:spacing w:before="80" w:after="80"/>
      </w:pPr>
      <w:r>
        <w:t>«Как внедрить MBTI в корпоративное обучение»</w:t>
      </w:r>
    </w:p>
    <w:p>
      <w:pPr>
        <w:numPr>
          <w:ilvl w:val="0"/>
          <w:numId w:val="1"/>
        </w:numPr>
        <w:spacing w:before="80" w:after="80"/>
      </w:pPr>
      <w:r>
        <w:t>«Нейро-сотрудники для отдела продаж»</w:t>
      </w:r>
    </w:p>
    <w:p>
      <w:pPr>
        <w:numPr>
          <w:ilvl w:val="0"/>
          <w:numId w:val="1"/>
        </w:numPr>
        <w:spacing w:before="80" w:after="80"/>
      </w:pPr>
      <w:r>
        <w:t>«Акмеологический подход к управлению талантами»</w:t>
      </w:r>
    </w:p>
    <w:p>
      <w:pPr>
        <w:pStyle w:val="Heading1"/>
      </w:pPr>
      <w:bookmarkStart w:name="_Toc007" w:id="007"/>
      <w:r>
        <w:t>6. Системные риски</w:t>
      </w:r>
      <w:bookmarkEnd w:id="007"/>
    </w:p>
    <w:p>
      <w:pPr>
        <w:pStyle w:val="Heading2"/>
      </w:pPr>
      <w:r>
        <w:t>Red Flags Синдром</w:t>
      </w:r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E0E0E0" w:sz="4"/>
          <w:insideV w:val="nil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00"/>
        <w:gridCol w:w="6200"/>
      </w:tblGrid>
      <w:tr>
        <w:trPr>
          <w:tblHeader/>
          <w:trHeight w:val="360" w:hRule="atLeast"/>
        </w:trPr>
        <w:tc>
          <w:tcPr>
            <w:tcW w:w="1400" w:type="dxa"/>
            <w:shd w:val="clear" w:fill="E8EEF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b/>
                <w:color w:val="1E3A5F"/>
                <w:sz w:val="24"/>
              </w:rPr>
              <w:t>Уровень</w:t>
            </w:r>
          </w:p>
        </w:tc>
        <w:tc>
          <w:tcPr>
            <w:tcW w:w="6200" w:type="dxa"/>
            <w:shd w:val="clear" w:fill="E8EEF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b/>
                <w:color w:val="1E3A5F"/>
                <w:sz w:val="24"/>
              </w:rPr>
              <w:t>Риски</w:t>
            </w:r>
          </w:p>
        </w:tc>
      </w:tr>
      <w:tr>
        <w:trPr>
          <w:trHeight w:val="32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🔴 Критический</w:t>
            </w:r>
          </w:p>
        </w:tc>
        <w:tc>
          <w:tcPr>
            <w:tcW w:w="6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Gmail с опечаткой, отсутствие 152-ФЗ, нет навигации и структуры, нет цены и демо-доступа</w:t>
            </w:r>
          </w:p>
        </w:tc>
      </w:tr>
      <w:tr>
        <w:trPr>
          <w:trHeight w:val="32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🟡 Высокий</w:t>
            </w:r>
          </w:p>
        </w:tc>
        <w:tc>
          <w:tcPr>
            <w:tcW w:w="6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Tilda вместо корпоративной CMS, нет мобильной адаптации интерфейса, отсутствие кейсов, нет лид-магнитов (воронка не собирает контакты)</w:t>
            </w:r>
          </w:p>
        </w:tc>
      </w:tr>
      <w:tr>
        <w:trPr>
          <w:trHeight w:val="32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🟢 Средний</w:t>
            </w:r>
          </w:p>
        </w:tc>
        <w:tc>
          <w:tcPr>
            <w:tcW w:w="6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Отсутствие SEO-структуры и семантического ядра, нет интеграций с популярными HR-системами</w:t>
            </w:r>
          </w:p>
        </w:tc>
      </w:tr>
    </w:tbl>
    <w:p>
      <w:pPr>
        <w:pStyle w:val="Heading1"/>
      </w:pPr>
      <w:bookmarkStart w:name="_Toc008" w:id="008"/>
      <w:r>
        <w:t>7. Дорожная карта трансформации</w:t>
      </w:r>
      <w:bookmarkEnd w:id="008"/>
    </w:p>
    <w:p>
      <w:pPr>
        <w:pStyle w:val="Heading2"/>
      </w:pPr>
      <w:r>
        <w:t>Фаза 1: Экстренная Стабилизация (Недели 1-2)</w:t>
      </w:r>
    </w:p>
    <w:p>
      <w:pPr>
        <w:numPr>
          <w:ilvl w:val="0"/>
          <w:numId w:val="1"/>
        </w:numPr>
        <w:spacing w:before="80" w:after="80"/>
      </w:pPr>
      <w:r>
        <w:t>Сменить email на корпоративный (info@akmehr.ru)</w:t>
      </w:r>
    </w:p>
    <w:p>
      <w:pPr>
        <w:numPr>
          <w:ilvl w:val="0"/>
          <w:numId w:val="1"/>
        </w:numPr>
        <w:spacing w:before="80" w:after="80"/>
      </w:pPr>
      <w:r>
        <w:t>Добавить страницы: /about, /cases, /blog, /contacts, /privacy-policy</w:t>
      </w:r>
    </w:p>
    <w:p>
      <w:pPr>
        <w:numPr>
          <w:ilvl w:val="0"/>
          <w:numId w:val="1"/>
        </w:numPr>
        <w:spacing w:before="80" w:after="80"/>
      </w:pPr>
      <w:r>
        <w:t>Разместить: ОГРН/ИНН, политику конфиденциальности, согласие на обработку ПДн</w:t>
      </w:r>
    </w:p>
    <w:p>
      <w:pPr>
        <w:numPr>
          <w:ilvl w:val="0"/>
          <w:numId w:val="1"/>
        </w:numPr>
        <w:spacing w:before="80" w:after="80"/>
      </w:pPr>
      <w:r>
        <w:t>SSL: Убедиться в наличии и отображении сертификата безопасности</w:t>
      </w:r>
    </w:p>
    <w:p>
      <w:pPr>
        <w:pStyle w:val="Heading2"/>
      </w:pPr>
      <w:r>
        <w:t>Фаза 2: Доверие и Конверсия (Месяцы 1-2)</w:t>
      </w:r>
    </w:p>
    <w:p>
      <w:pPr>
        <w:numPr>
          <w:ilvl w:val="0"/>
          <w:numId w:val="1"/>
        </w:numPr>
        <w:spacing w:before="80" w:after="80"/>
      </w:pPr>
      <w:r>
        <w:t>3 детальных кейса (проблема → решение → результат в %)</w:t>
      </w:r>
    </w:p>
    <w:p>
      <w:pPr>
        <w:numPr>
          <w:ilvl w:val="0"/>
          <w:numId w:val="1"/>
        </w:numPr>
        <w:spacing w:before="80" w:after="80"/>
      </w:pPr>
      <w:r>
        <w:t>Страница команды (фото, роли, экспертиза)</w:t>
      </w:r>
    </w:p>
    <w:p>
      <w:pPr>
        <w:numPr>
          <w:ilvl w:val="0"/>
          <w:numId w:val="1"/>
        </w:numPr>
        <w:spacing w:before="80" w:after="80"/>
      </w:pPr>
      <w:r>
        <w:t>Воронка: лид-магнит «Бесплатная оценка акмеологической зрелости компании»</w:t>
      </w:r>
    </w:p>
    <w:p>
      <w:pPr>
        <w:numPr>
          <w:ilvl w:val="0"/>
          <w:numId w:val="1"/>
        </w:numPr>
        <w:spacing w:before="80" w:after="80"/>
      </w:pPr>
      <w:r>
        <w:t>Чат-бот (даже базовый, но рабочий)</w:t>
      </w:r>
    </w:p>
    <w:p>
      <w:pPr>
        <w:pStyle w:val="Heading2"/>
      </w:pPr>
      <w:r>
        <w:t>Фаза 3: Технологическая Зрелость (Месяцы 3-6)</w:t>
      </w:r>
    </w:p>
    <w:p>
      <w:pPr>
        <w:numPr>
          <w:ilvl w:val="0"/>
          <w:numId w:val="1"/>
        </w:numPr>
        <w:spacing w:before="80" w:after="80"/>
      </w:pPr>
      <w:r>
        <w:t>Миграция с Tilda на корпоративную CMS (Bitrix, WordPress Enterprise или кастом)</w:t>
      </w:r>
    </w:p>
    <w:p>
      <w:pPr>
        <w:numPr>
          <w:ilvl w:val="0"/>
          <w:numId w:val="1"/>
        </w:numPr>
        <w:spacing w:before="80" w:after="80"/>
      </w:pPr>
      <w:r>
        <w:t>Личный кабинет клиента (для просмотра результатов тестирования безопасно)</w:t>
      </w:r>
    </w:p>
    <w:p>
      <w:pPr>
        <w:numPr>
          <w:ilvl w:val="0"/>
          <w:numId w:val="1"/>
        </w:numPr>
        <w:spacing w:before="80" w:after="80"/>
      </w:pPr>
      <w:r>
        <w:t>Интеграции: API для 1С:ЗУП, Битрикс24, HeadHunter</w:t>
      </w:r>
    </w:p>
    <w:p>
      <w:pPr>
        <w:numPr>
          <w:ilvl w:val="0"/>
          <w:numId w:val="1"/>
        </w:numPr>
        <w:spacing w:before="80" w:after="80"/>
      </w:pPr>
      <w:r>
        <w:t>Блог: SEO-стратегия по запросам HR-директоров</w:t>
      </w:r>
    </w:p>
    <w:p>
      <w:pPr>
        <w:pStyle w:val="Heading2"/>
      </w:pPr>
      <w:r>
        <w:t>Фаза 4: Масштабирование (Месяцы 6-12)</w:t>
      </w:r>
    </w:p>
    <w:p>
      <w:pPr>
        <w:numPr>
          <w:ilvl w:val="0"/>
          <w:numId w:val="1"/>
        </w:numPr>
        <w:spacing w:before="80" w:after="80"/>
      </w:pPr>
      <w:r>
        <w:t>Академические публикации: статьи в CyberLeninka о результатах пилотов</w:t>
      </w:r>
    </w:p>
    <w:p>
      <w:pPr>
        <w:numPr>
          <w:ilvl w:val="0"/>
          <w:numId w:val="1"/>
        </w:numPr>
        <w:spacing w:before="80" w:after="80"/>
      </w:pPr>
      <w:r>
        <w:t>Сертификации: Соответствие требованиям безопасности для госзаказчиков</w:t>
      </w:r>
    </w:p>
    <w:p>
      <w:pPr>
        <w:numPr>
          <w:ilvl w:val="0"/>
          <w:numId w:val="1"/>
        </w:numPr>
        <w:spacing w:before="80" w:after="80"/>
      </w:pPr>
      <w:r>
        <w:t>Партнёрская программа: для HR-консультантов и бизнес-школ</w:t>
      </w:r>
    </w:p>
    <w:p>
      <w:pPr>
        <w:pStyle w:val="Heading1"/>
      </w:pPr>
      <w:bookmarkStart w:name="_Toc009" w:id="009"/>
      <w:r>
        <w:t>8. Итоговая матрица оценок</w:t>
      </w:r>
      <w:bookmarkEnd w:id="009"/>
    </w:p>
    <w:tbl>
      <w:tblPr>
        <w:tblW w:w="5000" w:type="pct"/>
        <w:tblBorders>
          <w:top w:val="single" w:color="1E3A5F" w:sz="8"/>
          <w:left w:val="nil"/>
          <w:bottom w:val="single" w:color="1E3A5F" w:sz="8"/>
          <w:right w:val="nil"/>
          <w:insideH w:val="single" w:color="E0E0E0" w:sz="4"/>
          <w:insideV w:val="nil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600"/>
        <w:gridCol w:w="1000"/>
        <w:gridCol w:w="3000"/>
      </w:tblGrid>
      <w:tr>
        <w:trPr>
          <w:tblHeader/>
          <w:trHeight w:val="360" w:hRule="atLeast"/>
        </w:trPr>
        <w:tc>
          <w:tcPr>
            <w:tcW w:w="3600" w:type="dxa"/>
            <w:shd w:val="clear" w:fill="E8EEF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b/>
                <w:color w:val="1E3A5F"/>
                <w:sz w:val="24"/>
              </w:rPr>
              <w:t>Критерий</w:t>
            </w:r>
          </w:p>
        </w:tc>
        <w:tc>
          <w:tcPr>
            <w:tcW w:w="1000" w:type="dxa"/>
            <w:shd w:val="clear" w:fill="E8EEF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b/>
                <w:color w:val="1E3A5F"/>
                <w:sz w:val="24"/>
              </w:rPr>
              <w:t>Оценка</w:t>
            </w:r>
          </w:p>
        </w:tc>
        <w:tc>
          <w:tcPr>
            <w:tcW w:w="3000" w:type="dxa"/>
            <w:shd w:val="clear" w:fill="E8EEF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b/>
                <w:color w:val="1E3A5F"/>
                <w:sz w:val="24"/>
              </w:rPr>
              <w:t>Комментарий</w:t>
            </w:r>
          </w:p>
        </w:tc>
      </w:tr>
      <w:tr>
        <w:trPr>
          <w:trHeight w:val="320" w:hRule="atLeast"/>
        </w:trPr>
        <w:tc>
          <w:tcPr>
            <w:tcW w:w="3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Стратегическая концепция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9/10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Уникальное сочетание акмеологии и AI</w:t>
            </w:r>
          </w:p>
        </w:tc>
      </w:tr>
      <w:tr>
        <w:trPr>
          <w:trHeight w:val="320" w:hRule="atLeast"/>
        </w:trPr>
        <w:tc>
          <w:tcPr>
            <w:tcW w:w="3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Научная обоснованность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8/10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Легитимная база (РАНХиГС), но нет публикаций эффективности</w:t>
            </w:r>
          </w:p>
        </w:tc>
      </w:tr>
      <w:tr>
        <w:trPr>
          <w:trHeight w:val="320" w:hRule="atLeast"/>
        </w:trPr>
        <w:tc>
          <w:tcPr>
            <w:tcW w:w="3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UX/UI Архитектура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4/10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Лендинг вместо платформы, нет навигации</w:t>
            </w:r>
          </w:p>
        </w:tc>
      </w:tr>
      <w:tr>
        <w:trPr>
          <w:trHeight w:val="320" w:hRule="atLeast"/>
        </w:trPr>
        <w:tc>
          <w:tcPr>
            <w:tcW w:w="3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Технологическая инфраструктура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5/10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Идеи сильны, но Tilda дискредитирует</w:t>
            </w:r>
          </w:p>
        </w:tc>
      </w:tr>
      <w:tr>
        <w:trPr>
          <w:trHeight w:val="320" w:hRule="atLeast"/>
        </w:trPr>
        <w:tc>
          <w:tcPr>
            <w:tcW w:w="3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Юридический Compliance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3/10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Критические риски по 152-ФЗ, отсутствие политики</w:t>
            </w:r>
          </w:p>
        </w:tc>
      </w:tr>
      <w:tr>
        <w:trPr>
          <w:trHeight w:val="320" w:hRule="atLeast"/>
        </w:trPr>
        <w:tc>
          <w:tcPr>
            <w:tcW w:w="3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Воронка продаж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3/10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Нет лид-магнитов, цен, демо, CTA неясен</w:t>
            </w:r>
          </w:p>
        </w:tc>
      </w:tr>
      <w:tr>
        <w:trPr>
          <w:trHeight w:val="320" w:hRule="atLeast"/>
        </w:trPr>
        <w:tc>
          <w:tcPr>
            <w:tcW w:w="3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Доверие и репутация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4/10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Gmail с опечаткой, нет кейсов, команды, отзывов</w:t>
            </w:r>
          </w:p>
        </w:tc>
      </w:tr>
      <w:tr>
        <w:trPr>
          <w:trHeight w:val="320" w:hRule="atLeast"/>
        </w:trPr>
        <w:tc>
          <w:tcPr>
            <w:tcW w:w="3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Мобильная адаптивность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4/10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1A2E"/>
                <w:sz w:val="24"/>
              </w:rPr>
              <w:t>Критические проблемы с шапкой и текстом</w:t>
            </w:r>
          </w:p>
        </w:tc>
      </w:tr>
    </w:tbl>
    <w:p>
      <w:pPr>
        <w:pStyle w:val="Heading1"/>
      </w:pPr>
      <w:bookmarkStart w:name="_Toc010" w:id="010"/>
      <w:r>
        <w:t>Заключение</w:t>
      </w:r>
      <w:bookmarkEnd w:id="010"/>
    </w:p>
    <w:p>
      <w:pPr>
        <w:pStyle w:val="Heading2"/>
      </w:pPr>
      <w:r>
        <w:t>Точка Бифуркации</w:t>
      </w:r>
    </w:p>
    <w:p>
      <w:r>
        <w:t>AKMEHR стоит на перекрестке: либо это остается «проектом для своих» на Tilda с коучинговой упаковкой, либо это становится serious enterprise player в HR-tech.</w:t>
      </w:r>
    </w:p>
    <w:p>
      <w:pPr>
        <w:pBdr>
          <w:left w:val="single" w:color="2D5A87" w:sz="24" w:space="8"/>
        </w:pBdr>
        <w:shd w:val="clear" w:fill="EBF5FF"/>
        <w:spacing w:before="200" w:after="240"/>
        <w:ind w:left="160" w:firstLine="0"/>
      </w:pPr>
      <w:r>
        <w:rPr>
          <w:b/>
          <w:color w:val="1E3A5F"/>
        </w:rPr>
        <w:t>Рекомендация: </w:t>
      </w:r>
      <w:r>
        <w:t>Приостановить рекламный трафик до выполнения Фазы 1 (юридическая стабилизация и смена контактов). В текущем виде сайт скорее отпугивает корпоративных клиентов, чем привлекает, создавая впечатление «сырого стартапа» вместо «академической платформы».</w:t>
      </w:r>
    </w:p>
    <w:p>
      <w:pPr>
        <w:pBdr>
          <w:left w:val="single" w:color="E07B39" w:sz="24" w:space="8"/>
        </w:pBdr>
        <w:shd w:val="clear" w:fill="FFF3E0"/>
        <w:spacing w:before="200" w:after="240"/>
        <w:ind w:left="160" w:firstLine="0"/>
      </w:pPr>
      <w:r>
        <w:rPr>
          <w:b/>
          <w:color w:val="E07B39"/>
        </w:rPr>
        <w:t>Потенциал роста оценки: </w:t>
      </w:r>
      <w:r>
        <w:t>До 8.5/10 при полной реализации Roadmap в течение 6 месяцев.</w:t>
      </w:r>
    </w:p>
    <w:p>
      <w:pPr>
        <w:sectPr>
          <w:headerReference w:type="default" r:id="R0d240f299442432c"/>
          <w:footerReference w:type="default" r:id="R22476110792444ac"/>
          <w:type w:val="nextPage"/>
          <w:pgSz w:w="11906" w:h="16838"/>
          <w:pgMar w:top="1440" w:right="1080" w:bottom="1440" w:left="108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coverBackground.png"/>
                    <pic:cNvPicPr/>
                  </pic:nvPicPr>
                  <pic:blipFill>
                    <a:blip r:embed="R66fbe0ad803b413a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200"/>
      </w:pPr>
      <w:r/>
    </w:p>
    <w:p>
      <w:pPr>
        <w:spacing w:after="160"/>
        <w:jc w:val="center"/>
      </w:pPr>
      <w:r>
        <w:rPr>
          <w:rFonts w:ascii="Calibri Light" w:hAnsi="Calibri Light"/>
          <w:b/>
          <w:color w:val="FFFFFF"/>
          <w:sz w:val="72"/>
        </w:rPr>
        <w:t>AKMEHR.RU</w:t>
      </w:r>
    </w:p>
    <w:p>
      <w:pPr>
        <w:spacing w:after="300"/>
        <w:jc w:val="center"/>
      </w:pPr>
      <w:r>
        <w:rPr>
          <w:color w:val="B0C4DE"/>
          <w:sz w:val="28"/>
        </w:rPr>
        <w:t>Экспертный аудит | Апрель 2025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ackground.png"/>
                  <pic:cNvPicPr/>
                </pic:nvPicPr>
                <pic:blipFill>
                  <a:blip r:embed="Rdbd32bb286754599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718096"/>
        <w:sz w:val="18"/>
      </w:rPr>
      <w:t>AKMEHR.RU | Экспертный аудит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00" w:lineRule="auto"/>
      <w:ind w:firstLine="0"/>
    </w:pPr>
    <w:rPr>
      <w:rFonts w:ascii="Calibri" w:hAnsi="Calibri" w:eastAsia="Microsoft YaHei"/>
      <w:color w:val="1A1A2E"/>
      <w:sz w:val="28"/>
    </w:rPr>
  </w:style>
  <w:style w:type="paragraph" w:styleId="Heading1">
    <w:name w:val="heading 1"/>
    <w:basedOn w:val="Normal"/>
    <w:pPr>
      <w:keepNext/>
      <w:keepLines/>
      <w:spacing w:before="400" w:after="240" w:line="240" w:lineRule="auto"/>
      <w:ind w:firstLine="0"/>
      <w:outlineLvl w:val="0"/>
    </w:pPr>
    <w:rPr>
      <w:rFonts w:ascii="Calibri Light" w:hAnsi="Calibri Light"/>
      <w:b/>
      <w:color w:val="1E3A5F"/>
      <w:sz w:val="36"/>
    </w:rPr>
  </w:style>
  <w:style w:type="paragraph" w:styleId="Heading2">
    <w:name w:val="heading 2"/>
    <w:basedOn w:val="Normal"/>
    <w:pPr>
      <w:keepNext/>
      <w:keepLines/>
      <w:spacing w:before="320" w:after="180"/>
      <w:ind w:firstLine="0"/>
      <w:outlineLvl w:val="1"/>
    </w:pPr>
    <w:rPr>
      <w:b/>
      <w:color w:val="2D5A87"/>
      <w:sz w:val="32"/>
    </w:rPr>
  </w:style>
  <w:style w:type="paragraph" w:styleId="Heading3">
    <w:name w:val="heading 3"/>
    <w:basedOn w:val="Normal"/>
    <w:pPr>
      <w:keepNext/>
      <w:keepLines/>
      <w:spacing w:before="240" w:after="120"/>
      <w:ind w:firstLine="0"/>
      <w:outlineLvl w:val="2"/>
    </w:pPr>
    <w:rPr>
      <w:b/>
      <w:color w:val="4A5568"/>
      <w:sz w:val="28"/>
    </w:rPr>
  </w:style>
  <w:style w:type="paragraph" w:styleId="TOC1">
    <w:name w:val="toc 1"/>
    <w:basedOn w:val="Normal"/>
    <w:pPr>
      <w:tabs>
        <w:tab w:val="right" w:leader="dot" w:pos="9350"/>
      </w:tabs>
      <w:spacing w:before="120" w:after="40"/>
      <w:ind w:firstLine="0"/>
    </w:pPr>
    <w:rPr>
      <w:b/>
      <w:color w:val="1A1A2E"/>
    </w:rPr>
  </w:style>
  <w:style w:type="paragraph" w:styleId="TOC2">
    <w:name w:val="toc 2"/>
    <w:basedOn w:val="Normal"/>
    <w:pPr>
      <w:tabs>
        <w:tab w:val="right" w:leader="dot" w:pos="9350"/>
      </w:tabs>
      <w:spacing w:before="40" w:after="40"/>
      <w:ind w:left="280" w:firstLine="0"/>
    </w:pPr>
    <w:rPr>
      <w:color w:val="4A556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fa285eed9a5439e" /><Relationship Type="http://schemas.openxmlformats.org/officeDocument/2006/relationships/numbering" Target="/word/numbering.xml" Id="R255e0a201f9446cf" /><Relationship Type="http://schemas.openxmlformats.org/officeDocument/2006/relationships/image" Target="/media/image.png" Id="R9db108714f9d4bbd" /><Relationship Type="http://schemas.openxmlformats.org/officeDocument/2006/relationships/image" Target="/media/image2.png" Id="R66fbe0ad803b413a" /><Relationship Type="http://schemas.openxmlformats.org/officeDocument/2006/relationships/header" Target="/word/header1.xml" Id="R0d240f299442432c" /><Relationship Type="http://schemas.openxmlformats.org/officeDocument/2006/relationships/footer" Target="/word/footer1.xml" Id="R22476110792444ac" /><Relationship Type="http://schemas.openxmlformats.org/officeDocument/2006/relationships/settings" Target="/word/settings.xml" Id="R4a048d1a340d4e29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3.png" Id="Rdbd32bb286754599" /></Relationships>
</file>