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d445e8d6374118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0be61cda82ed40cb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800"/>
      </w:pPr>
      <w:r/>
    </w:p>
    <w:p>
      <w:pPr>
        <w:spacing w:after="300"/>
        <w:jc w:val="center"/>
      </w:pPr>
      <w:r>
        <w:rPr>
          <w:caps/>
          <w:color w:val="FFFFFF"/>
          <w:sz w:val="40"/>
        </w:rPr>
        <w:t>ЭКСПЕРТНЫЙ АУДИТ</w:t>
      </w:r>
    </w:p>
    <w:p>
      <w:pPr>
        <w:spacing w:after="160"/>
        <w:jc w:val="center"/>
      </w:pPr>
      <w:r>
        <w:rPr>
          <w:rFonts w:ascii="Calibri Light" w:hAnsi="Calibri Light"/>
          <w:b/>
          <w:color w:val="FFFFFF"/>
          <w:sz w:val="96"/>
        </w:rPr>
        <w:t>AKMEHR.RU</w:t>
      </w:r>
    </w:p>
    <w:p>
      <w:pPr>
        <w:spacing w:after="500"/>
        <w:jc w:val="center"/>
      </w:pPr>
      <w:r>
        <w:rPr>
          <w:color w:val="B0C4DE"/>
          <w:sz w:val="32"/>
        </w:rPr>
        <w:t>Нарративный анализ и рекомендации</w:t>
      </w:r>
    </w:p>
    <w:p>
      <w:pPr>
        <w:spacing w:after="100"/>
        <w:jc w:val="center"/>
      </w:pPr>
      <w:r>
        <w:rPr>
          <w:color w:val="FFFFFF"/>
          <w:sz w:val="36"/>
        </w:rPr>
        <w:t>Итоговая оценка</w:t>
      </w:r>
    </w:p>
    <w:p>
      <w:pPr>
        <w:spacing w:after="2400"/>
        <w:jc w:val="center"/>
      </w:pPr>
      <w:r>
        <w:rPr>
          <w:b/>
          <w:color w:val="E07B39"/>
          <w:sz w:val="96"/>
        </w:rPr>
        <w:t>5.2</w:t>
      </w:r>
      <w:r>
        <w:rPr>
          <w:color w:val="B0C4DE"/>
          <w:sz w:val="48"/>
        </w:rPr>
        <w:t>/10</w:t>
      </w:r>
    </w:p>
    <w:p>
      <w:pPr>
        <w:jc w:val="center"/>
      </w:pPr>
      <w:r>
        <w:rPr>
          <w:color w:val="90A4AE"/>
          <w:sz w:val="28"/>
        </w:rPr>
        <w:t>Апрель 2025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r>
        <w:t>Общее ощущение: «Круто, но как это купить?»</w:t>
      </w:r>
    </w:p>
    <w:p>
      <w:r>
        <w:t>Захожу на сайт — и сразу вижу: это не просто очередной HR-стартап. Здесь есть идея, у которой есть право на жизнь.</w:t>
      </w:r>
    </w:p>
    <w:p>
      <w:pPr>
        <w:pBdr>
          <w:left w:val="single" w:color="2D5A87" w:sz="24" w:space="8"/>
        </w:pBdr>
        <w:shd w:val="clear" w:fill="EBF5FF"/>
        <w:spacing w:before="240" w:after="280"/>
        <w:ind w:left="160" w:firstLine="0"/>
      </w:pPr>
      <w:r>
        <w:rPr>
          <w:b/>
          <w:color w:val="1E3A5F"/>
        </w:rPr>
        <w:t>Главный вызов: </w:t>
      </w:r>
      <w:r>
        <w:t>Вы предлагаете инструмент для управления персоналом через акмеологию — а сами пока не показываете, что умеете управлять своим сайтом. Это как талантливый повар, который готовит отличные блюда, но подаёт их на сломанной тарелке.</w:t>
      </w:r>
    </w:p>
    <w:p>
      <w:pPr>
        <w:pStyle w:val="Heading1"/>
      </w:pPr>
      <w:r>
        <w:t>Что действительно круто (и это нужно беречь)</w:t>
      </w:r>
    </w:p>
    <w:p>
      <w:pPr>
        <w:pStyle w:val="Heading2"/>
      </w:pPr>
      <w:r>
        <w:t>1. Концепция — огонь</w:t>
      </w:r>
    </w:p>
    <w:p>
      <w:r>
        <w:t>Идея акмеологического подхода к управлению персоналом — это не просто уникально, это востребованно. В российском HR-сегменте такого практически нет. Есть теоретики, есть консультации, но нет инструмента, который позволяет системно работать с командой через призму акмеологии.</w:t>
      </w:r>
    </w:p>
    <w:p>
      <w:pPr>
        <w:pStyle w:val="Heading2"/>
      </w:pPr>
      <w:r>
        <w:t>2. Нейро-сотрудники — идея огонь</w:t>
      </w:r>
    </w:p>
    <w:p>
      <w:r>
        <w:t>Это то, что может стать вашим киллер-фичей. AI-агенты для веб-аналитики поведения + персонализации продаж — это передовое применение behavioral analytics в России. Если правильно раскрутить, это может стать вашей основной конкурентной преимуществой.</w:t>
      </w:r>
    </w:p>
    <w:p>
      <w:pPr>
        <w:pStyle w:val="Heading2"/>
      </w:pPr>
      <w:r>
        <w:t>3. Симулятор управленческих решений</w:t>
      </w:r>
    </w:p>
    <w:p>
      <w:r>
        <w:t>Это инструмент C-level, закрывающий gap между HR и бизнес-метриками. Топ-менеджеру не нужно быть психологом — инструмент сам подскажет, как выстроить команду и какие решения принимать.</w:t>
      </w:r>
    </w:p>
    <w:p>
      <w:pPr>
        <w:pStyle w:val="Heading1"/>
      </w:pPr>
      <w:r>
        <w:t>Где болит: три критические «трещины»</w:t>
      </w:r>
    </w:p>
    <w:p>
      <w:pPr>
        <w:pStyle w:val="Heading2"/>
      </w:pPr>
      <w:r>
        <w:t>Трещина #1: Тильда для Enterprise-продукта</w:t>
      </w:r>
    </w:p>
    <w:p>
      <w:pPr>
        <w:pBdr>
          <w:left w:val="single" w:color="C62828" w:sz="24" w:space="8"/>
        </w:pBdr>
        <w:shd w:val="clear" w:fill="FFEBEE"/>
        <w:spacing w:before="240" w:after="280"/>
        <w:ind w:left="160" w:firstLine="0"/>
      </w:pPr>
      <w:r>
        <w:rPr>
          <w:b/>
          <w:color w:val="C62828"/>
        </w:rPr>
        <w:t>Проблема: </w:t>
      </w:r>
      <w:r>
        <w:t>Использование Tilda для IT-продукта, декларирующего AI-интеграции и обработку Big Data — это сигнал несерьезности для CTO заказчика.</w:t>
      </w:r>
    </w:p>
    <w:p>
      <w:r>
        <w:t>Что это значит для вас:</w:t>
      </w:r>
    </w:p>
    <w:p>
      <w:pPr>
        <w:numPr>
          <w:ilvl w:val="0"/>
          <w:numId w:val="1"/>
        </w:numPr>
        <w:spacing w:before="100" w:after="100"/>
      </w:pPr>
      <w:r>
        <w:t>Нет возможности создать защищенный личный кабинет клиента</w:t>
      </w:r>
    </w:p>
    <w:p>
      <w:pPr>
        <w:numPr>
          <w:ilvl w:val="0"/>
          <w:numId w:val="1"/>
        </w:numPr>
        <w:spacing w:before="100" w:after="100"/>
      </w:pPr>
      <w:r>
        <w:t>Ограниченные интеграции с корпоративными системами (1С, SAP, API)</w:t>
      </w:r>
    </w:p>
    <w:p>
      <w:pPr>
        <w:numPr>
          <w:ilvl w:val="0"/>
          <w:numId w:val="1"/>
        </w:numPr>
        <w:spacing w:before="100" w:after="100"/>
      </w:pPr>
      <w:r>
        <w:t>Сложности с SEO-оптимизацией под B2B-запросы</w:t>
      </w:r>
    </w:p>
    <w:p>
      <w:pPr>
        <w:pStyle w:val="Heading2"/>
      </w:pPr>
      <w:r>
        <w:t>Трещина #2: Навигация — тупик</w:t>
      </w:r>
    </w:p>
    <w:p>
      <w:pPr>
        <w:pBdr>
          <w:left w:val="single" w:color="C62828" w:sz="24" w:space="8"/>
        </w:pBdr>
        <w:shd w:val="clear" w:fill="FFEBEE"/>
        <w:spacing w:before="240" w:after="280"/>
        <w:ind w:left="160" w:firstLine="0"/>
      </w:pPr>
      <w:r>
        <w:rPr>
          <w:b/>
          <w:color w:val="C62828"/>
        </w:rPr>
        <w:t>Проблема: </w:t>
      </w:r>
      <w:r>
        <w:t>Нет структуры: 6 модулей + нейро-сотрудники свалены в единый поток. Невозможно исследовать продукт системно.</w:t>
      </w:r>
    </w:p>
    <w:p>
      <w:r>
        <w:t>Что это значит для вас:</w:t>
      </w:r>
    </w:p>
    <w:p>
      <w:pPr>
        <w:numPr>
          <w:ilvl w:val="0"/>
          <w:numId w:val="1"/>
        </w:numPr>
        <w:spacing w:before="100" w:after="100"/>
      </w:pPr>
      <w:r>
        <w:t>Потенциальный клиент заходит — и уходит, не поняв, что вы предлагаете</w:t>
      </w:r>
    </w:p>
    <w:p>
      <w:pPr>
        <w:numPr>
          <w:ilvl w:val="0"/>
          <w:numId w:val="1"/>
        </w:numPr>
        <w:spacing w:before="100" w:after="100"/>
      </w:pPr>
      <w:r>
        <w:t>Нет возможности быстро показать кейсы / цены / отзывы</w:t>
      </w:r>
    </w:p>
    <w:p>
      <w:pPr>
        <w:numPr>
          <w:ilvl w:val="0"/>
          <w:numId w:val="1"/>
        </w:numPr>
        <w:spacing w:before="100" w:after="100"/>
      </w:pPr>
      <w:r>
        <w:t>Сайт не собирает контакты — значит, не работает как лид-магнит</w:t>
      </w:r>
    </w:p>
    <w:p>
      <w:pPr>
        <w:pStyle w:val="Heading2"/>
      </w:pPr>
      <w:r>
        <w:t>Трещина #3: Нет доказательств</w:t>
      </w:r>
    </w:p>
    <w:p>
      <w:pPr>
        <w:pBdr>
          <w:left w:val="single" w:color="C62828" w:sz="24" w:space="8"/>
        </w:pBdr>
        <w:shd w:val="clear" w:fill="FFEBEE"/>
        <w:spacing w:before="240" w:after="280"/>
        <w:ind w:left="160" w:firstLine="0"/>
      </w:pPr>
      <w:r>
        <w:rPr>
          <w:b/>
          <w:color w:val="C62828"/>
        </w:rPr>
        <w:t>Проблема: </w:t>
      </w:r>
      <w:r>
        <w:t>Нет кейсов с цифрами. Нет команды (фото, био). Нет отзывов. Gmail с опечаткой — маркер любительского проекта.</w:t>
      </w:r>
    </w:p>
    <w:p>
      <w:r>
        <w:t>Что это значит для вас:</w:t>
      </w:r>
    </w:p>
    <w:p>
      <w:pPr>
        <w:numPr>
          <w:ilvl w:val="0"/>
          <w:numId w:val="1"/>
        </w:numPr>
        <w:spacing w:before="100" w:after="100"/>
      </w:pPr>
      <w:r>
        <w:t>Корпоративный заказчик не поверит — нет доверия</w:t>
      </w:r>
    </w:p>
    <w:p>
      <w:pPr>
        <w:numPr>
          <w:ilvl w:val="0"/>
          <w:numId w:val="1"/>
        </w:numPr>
        <w:spacing w:before="100" w:after="100"/>
      </w:pPr>
      <w:r>
        <w:t>Нет социального доказательства — нет продаж</w:t>
      </w:r>
    </w:p>
    <w:p>
      <w:pPr>
        <w:numPr>
          <w:ilvl w:val="0"/>
          <w:numId w:val="1"/>
        </w:numPr>
        <w:spacing w:before="100" w:after="100"/>
      </w:pPr>
      <w:r>
        <w:t>Бусунесс292@gmail.com — автоотказ на этапе due diligence</w:t>
      </w:r>
    </w:p>
    <w:p>
      <w:pPr>
        <w:pStyle w:val="Heading1"/>
      </w:pPr>
      <w:r>
        <w:t>Нюанс для вас лично</w:t>
      </w:r>
    </w:p>
    <w:p>
      <w:pPr>
        <w:pBdr>
          <w:left w:val="single" w:color="E07B39" w:sz="24" w:space="8"/>
        </w:pBdr>
        <w:shd w:val="clear" w:fill="FFF3E0"/>
        <w:spacing w:before="240" w:after="280"/>
        <w:ind w:left="160" w:firstLine="0"/>
      </w:pPr>
      <w:r>
        <w:rPr>
          <w:b/>
          <w:color w:val="E07B39"/>
        </w:rPr>
        <w:t>Важно понимать: </w:t>
      </w:r>
      <w:r>
        <w:t>Вы предлагаете инструмент для управления персоналом через акмеологию — а сами пока не показываете, что умеете управлять своим сайтом.</w:t>
      </w:r>
    </w:p>
    <w:p>
      <w:r>
        <w:t>Это как талантливый повар, который готовит отличные блюда, но подаёт их на сломанной тарелке.</w:t>
      </w:r>
    </w:p>
    <w:p>
      <w:r>
        <w:t>Сейчас вы стоите на перекрёстке: либо это остаётся «проектом для своих» на Tilda, либо это становится serious enterprise player в HR-tech.</w:t>
      </w:r>
    </w:p>
    <w:p>
      <w:pPr>
        <w:pStyle w:val="Heading1"/>
      </w:pPr>
      <w:r>
        <w:t>Что делать прямо сейчас</w:t>
      </w:r>
    </w:p>
    <w:p>
      <w:pPr>
        <w:pStyle w:val="Heading2"/>
      </w:pPr>
      <w:r>
        <w:t>Срочно (эту неделю)</w:t>
      </w:r>
    </w:p>
    <w:p>
      <w:pPr>
        <w:numPr>
          <w:ilvl w:val="0"/>
          <w:numId w:val="1"/>
        </w:numPr>
        <w:spacing w:before="100" w:after="100"/>
      </w:pPr>
      <w:r>
        <w:t>Сменить email на корпоративный (info@akmehr.ru)</w:t>
      </w:r>
    </w:p>
    <w:p>
      <w:pPr>
        <w:numPr>
          <w:ilvl w:val="0"/>
          <w:numId w:val="1"/>
        </w:numPr>
        <w:spacing w:before="100" w:after="100"/>
      </w:pPr>
      <w:r>
        <w:t>Добавить страницы: /about, /cases, /contacts, /privacy-policy</w:t>
      </w:r>
    </w:p>
    <w:p>
      <w:pPr>
        <w:numPr>
          <w:ilvl w:val="0"/>
          <w:numId w:val="1"/>
        </w:numPr>
        <w:spacing w:before="100" w:after="100"/>
      </w:pPr>
      <w:r>
        <w:t>Разместить: ОГРН/ИНН, политику конфиденциальности</w:t>
      </w:r>
    </w:p>
    <w:p>
      <w:pPr>
        <w:numPr>
          <w:ilvl w:val="0"/>
          <w:numId w:val="1"/>
        </w:numPr>
        <w:spacing w:before="100" w:after="100"/>
      </w:pPr>
      <w:r>
        <w:t>Убедиться в наличии SSL-сертификата</w:t>
      </w:r>
    </w:p>
    <w:p>
      <w:pPr>
        <w:pStyle w:val="Heading2"/>
      </w:pPr>
      <w:r>
        <w:t>Важно (этот месяц)</w:t>
      </w:r>
    </w:p>
    <w:p>
      <w:pPr>
        <w:numPr>
          <w:ilvl w:val="0"/>
          <w:numId w:val="1"/>
        </w:numPr>
        <w:spacing w:before="100" w:after="100"/>
      </w:pPr>
      <w:r>
        <w:t>3 детальных кейса (проблема → решение → результат в %)</w:t>
      </w:r>
    </w:p>
    <w:p>
      <w:pPr>
        <w:numPr>
          <w:ilvl w:val="0"/>
          <w:numId w:val="1"/>
        </w:numPr>
        <w:spacing w:before="100" w:after="100"/>
      </w:pPr>
      <w:r>
        <w:t>Страница команды (фото, роли, экспертиза)</w:t>
      </w:r>
    </w:p>
    <w:p>
      <w:pPr>
        <w:numPr>
          <w:ilvl w:val="0"/>
          <w:numId w:val="1"/>
        </w:numPr>
        <w:spacing w:before="100" w:after="100"/>
      </w:pPr>
      <w:r>
        <w:t>Лид-магнит: «Бесплатная оценка акмеологической зрелости компании»</w:t>
      </w:r>
    </w:p>
    <w:p>
      <w:pPr>
        <w:numPr>
          <w:ilvl w:val="0"/>
          <w:numId w:val="1"/>
        </w:numPr>
        <w:spacing w:before="100" w:after="100"/>
      </w:pPr>
      <w:r>
        <w:t>Чат-бот (даже базовый, но рабочий)</w:t>
      </w:r>
    </w:p>
    <w:p>
      <w:pPr>
        <w:pStyle w:val="Heading2"/>
      </w:pPr>
      <w:r>
        <w:t>Стратегически (3-6 месяцев)</w:t>
      </w:r>
    </w:p>
    <w:p>
      <w:pPr>
        <w:numPr>
          <w:ilvl w:val="0"/>
          <w:numId w:val="1"/>
        </w:numPr>
        <w:spacing w:before="100" w:after="100"/>
      </w:pPr>
      <w:r>
        <w:t>Миграция с Tilda на корпоративную CMS</w:t>
      </w:r>
    </w:p>
    <w:p>
      <w:pPr>
        <w:numPr>
          <w:ilvl w:val="0"/>
          <w:numId w:val="1"/>
        </w:numPr>
        <w:spacing w:before="100" w:after="100"/>
      </w:pPr>
      <w:r>
        <w:t>Личный кабинет клиента для просмотра результатов</w:t>
      </w:r>
    </w:p>
    <w:p>
      <w:pPr>
        <w:numPr>
          <w:ilvl w:val="0"/>
          <w:numId w:val="1"/>
        </w:numPr>
        <w:spacing w:before="100" w:after="100"/>
      </w:pPr>
      <w:r>
        <w:t>Интеграции: API для 1С:ЗУП, Битрикс24, HeadHunter</w:t>
      </w:r>
    </w:p>
    <w:p>
      <w:pPr>
        <w:numPr>
          <w:ilvl w:val="0"/>
          <w:numId w:val="1"/>
        </w:numPr>
        <w:spacing w:before="100" w:after="100"/>
      </w:pPr>
      <w:r>
        <w:t>Блог: SEO-стратегия по запросам HR-директоров</w:t>
      </w:r>
    </w:p>
    <w:p>
      <w:pPr>
        <w:pStyle w:val="Heading1"/>
      </w:pPr>
      <w:r>
        <w:t>Итог: Диагноз и Прогноз</w:t>
      </w:r>
    </w:p>
    <w:p>
      <w:pPr>
        <w:shd w:val="clear" w:fill="F5F5F5"/>
        <w:spacing w:before="280" w:after="200"/>
        <w:ind w:firstLine="0"/>
        <w:jc w:val="center"/>
      </w:pPr>
      <w:r>
        <w:rPr>
          <w:b/>
          <w:color w:val="E07B39"/>
          <w:sz w:val="72"/>
        </w:rPr>
        <w:t>5.2/10</w:t>
      </w:r>
    </w:p>
    <w:p>
      <w:pPr>
        <w:pBdr>
          <w:left w:val="single" w:color="2D5A87" w:sz="24" w:space="8"/>
        </w:pBdr>
        <w:shd w:val="clear" w:fill="EBF5FF"/>
        <w:spacing w:before="240" w:after="280"/>
        <w:ind w:left="160" w:firstLine="0"/>
      </w:pPr>
      <w:r>
        <w:rPr>
          <w:b/>
          <w:color w:val="1E3A5F"/>
        </w:rPr>
        <w:t>Диагноз: </w:t>
      </w:r>
      <w:r>
        <w:t>Платформа страдает от «синдрома стартапа-академика» — сильная экспертиза в предметной области разрушается базовыми ошибками цифровой гигиены.</w:t>
      </w:r>
    </w:p>
    <w:p>
      <w:pPr>
        <w:pBdr>
          <w:left w:val="single" w:color="E07B39" w:sz="24" w:space="8"/>
        </w:pBdr>
        <w:shd w:val="clear" w:fill="FFF3E0"/>
        <w:spacing w:before="240" w:after="280"/>
        <w:ind w:left="160" w:firstLine="0"/>
      </w:pPr>
      <w:r>
        <w:rPr>
          <w:b/>
          <w:color w:val="E07B39"/>
        </w:rPr>
        <w:t>Прогноз: </w:t>
      </w:r>
      <w:r>
        <w:t>До 8.5/10 при полной реализации Roadmap в течение 6 месяцев.</w:t>
      </w:r>
    </w:p>
    <w:p>
      <w:pPr>
        <w:pBdr>
          <w:left w:val="single" w:color="C62828" w:sz="24" w:space="8"/>
        </w:pBdr>
        <w:shd w:val="clear" w:fill="FFEBEE"/>
        <w:spacing w:before="240" w:after="280"/>
        <w:ind w:left="160" w:firstLine="0"/>
      </w:pPr>
      <w:r>
        <w:rPr>
          <w:b/>
          <w:color w:val="C62828"/>
        </w:rPr>
        <w:t>Рекомендация: </w:t>
      </w:r>
      <w:r>
        <w:t>Приостановить рекламный трафик до выполнения юридической стабилизации. В текущем виде сайт скорее отпугивает корпоративных клиентов, чем привлекает.</w:t>
      </w:r>
    </w:p>
    <w:p>
      <w:pPr>
        <w:sectPr>
          <w:headerReference w:type="default" r:id="R8a58527299b54232"/>
          <w:footerReference w:type="default" r:id="R156441082b1e4c2e"/>
          <w:type w:val="nextPage"/>
          <w:pgSz w:w="11906" w:h="16838"/>
          <w:pgMar w:top="1440" w:right="1080" w:bottom="1440" w:left="108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9e94a8d1238a426a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200"/>
      </w:pPr>
      <w:r/>
    </w:p>
    <w:p>
      <w:pPr>
        <w:spacing w:after="160"/>
        <w:jc w:val="center"/>
      </w:pPr>
      <w:r>
        <w:rPr>
          <w:rFonts w:ascii="Calibri Light" w:hAnsi="Calibri Light"/>
          <w:b/>
          <w:color w:val="FFFFFF"/>
          <w:sz w:val="72"/>
        </w:rPr>
        <w:t>AKMEHR.RU</w:t>
      </w:r>
    </w:p>
    <w:p>
      <w:pPr>
        <w:spacing w:after="300"/>
        <w:jc w:val="center"/>
      </w:pPr>
      <w:r>
        <w:rPr>
          <w:color w:val="B0C4DE"/>
          <w:sz w:val="28"/>
        </w:rPr>
        <w:t>Экспертный аудит | Апрель 2025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fdc800819338408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18096"/>
        <w:sz w:val="18"/>
      </w:rPr>
      <w:t>AKMEHR.RU | Экспертный аудит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20" w:lineRule="auto"/>
      <w:ind w:firstLine="0"/>
    </w:pPr>
    <w:rPr>
      <w:rFonts w:ascii="Calibri" w:hAnsi="Calibri" w:eastAsia="Microsoft YaHei"/>
      <w:color w:val="1A1A2E"/>
      <w:sz w:val="28"/>
    </w:rPr>
  </w:style>
  <w:style w:type="paragraph" w:styleId="Heading1">
    <w:name w:val="heading 1"/>
    <w:basedOn w:val="Normal"/>
    <w:pPr>
      <w:keepNext/>
      <w:keepLines/>
      <w:spacing w:before="480" w:after="280" w:line="240" w:lineRule="auto"/>
      <w:ind w:firstLine="0"/>
      <w:outlineLvl w:val="0"/>
    </w:pPr>
    <w:rPr>
      <w:rFonts w:ascii="Calibri Light" w:hAnsi="Calibri Light"/>
      <w:b/>
      <w:color w:val="1E3A5F"/>
      <w:sz w:val="36"/>
    </w:rPr>
  </w:style>
  <w:style w:type="paragraph" w:styleId="Heading2">
    <w:name w:val="heading 2"/>
    <w:basedOn w:val="Normal"/>
    <w:pPr>
      <w:keepNext/>
      <w:keepLines/>
      <w:spacing w:before="360" w:after="200"/>
      <w:ind w:firstLine="0"/>
      <w:outlineLvl w:val="1"/>
    </w:pPr>
    <w:rPr>
      <w:b/>
      <w:color w:val="2D5A87"/>
      <w:sz w:val="32"/>
    </w:rPr>
  </w:style>
  <w:style w:type="paragraph" w:styleId="Heading3">
    <w:name w:val="heading 3"/>
    <w:basedOn w:val="Normal"/>
    <w:pPr>
      <w:keepNext/>
      <w:keepLines/>
      <w:spacing w:before="280" w:after="140"/>
      <w:ind w:firstLine="0"/>
      <w:outlineLvl w:val="2"/>
    </w:pPr>
    <w:rPr>
      <w:b/>
      <w:color w:val="4A5568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4f7d18de3294b7d" /><Relationship Type="http://schemas.openxmlformats.org/officeDocument/2006/relationships/numbering" Target="/word/numbering.xml" Id="R9a89b7afde9f4ed2" /><Relationship Type="http://schemas.openxmlformats.org/officeDocument/2006/relationships/image" Target="/media/image.png" Id="R0be61cda82ed40cb" /><Relationship Type="http://schemas.openxmlformats.org/officeDocument/2006/relationships/image" Target="/media/image2.png" Id="R9e94a8d1238a426a" /><Relationship Type="http://schemas.openxmlformats.org/officeDocument/2006/relationships/header" Target="/word/header1.xml" Id="R8a58527299b54232" /><Relationship Type="http://schemas.openxmlformats.org/officeDocument/2006/relationships/footer" Target="/word/footer1.xml" Id="R156441082b1e4c2e" /><Relationship Type="http://schemas.openxmlformats.org/officeDocument/2006/relationships/settings" Target="/word/settings.xml" Id="R6dfb5f3943554fdc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fdc8008193384081" /></Relationships>
</file>