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5C8A"/>
          <w:sz w:val="19"/>
        </w:rPr>
        <w:t>CAIRNS AND HINTERLAND HOSPITAL AND HEALTH SERVICE</w:t>
      </w:r>
    </w:p>
    <w:p>
      <w:pPr>
        <w:spacing w:before="0" w:after="80"/>
      </w:pPr>
      <w:r>
        <w:rPr>
          <w:b/>
          <w:color w:val="2B3E50"/>
          <w:sz w:val="40"/>
        </w:rPr>
        <w:t>Monthly Research Publications Report: August 2026</w:t>
      </w:r>
    </w:p>
    <w:p>
      <w:pPr>
        <w:spacing w:before="0" w:after="320"/>
      </w:pPr>
      <w:r>
        <w:rPr>
          <w:color w:val="646E78"/>
          <w:sz w:val="17"/>
        </w:rPr>
        <w:t>Official clinical governance extract from Publication Registry  |  Generated: 2026-09-18 04:10 UTC  |  Total Papers: 9</w:t>
      </w:r>
    </w:p>
    <w:p>
      <w:pPr>
        <w:spacing w:before="240" w:after="120"/>
      </w:pPr>
      <w:r>
        <w:rPr>
          <w:b/>
          <w:color w:val="005C8A"/>
          <w:sz w:val="26"/>
        </w:rPr>
        <w:t>1. Executive Summary &amp; Attribution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Attribution / Facility Breakdown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Harvest Source Parity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Curation &amp; Triage Status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Cairns and Hinterland HHS: </w:t>
            </w:r>
            <w:r>
              <w:rPr>
                <w:b/>
                <w:sz w:val="17"/>
              </w:rPr>
              <w:t>6</w:t>
              <w:br/>
            </w:r>
            <w:r>
              <w:rPr>
                <w:sz w:val="17"/>
              </w:rPr>
              <w:t xml:space="preserve">• Cairns Hospital: </w:t>
            </w:r>
            <w:r>
              <w:rPr>
                <w:b/>
                <w:sz w:val="17"/>
              </w:rPr>
              <w:t>3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PubMed: </w:t>
            </w:r>
            <w:r>
              <w:rPr>
                <w:b/>
                <w:sz w:val="17"/>
              </w:rPr>
              <w:t>9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Included: </w:t>
            </w:r>
            <w:r>
              <w:rPr>
                <w:b/>
                <w:color w:val="107C41"/>
                <w:sz w:val="17"/>
              </w:rPr>
              <w:t>9</w:t>
              <w:br/>
            </w:r>
          </w:p>
        </w:tc>
      </w:tr>
    </w:tbl>
    <w:p>
      <w:pPr>
        <w:spacing w:before="200" w:after="80"/>
      </w:pPr>
      <w:r>
        <w:rPr>
          <w:b/>
          <w:color w:val="2B3E50"/>
          <w:sz w:val="22"/>
        </w:rPr>
        <w:t>Research Funding Governance &amp; Strategic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Funding Governance Breakdown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Study Design &amp; Methodology</w:t>
            </w:r>
          </w:p>
        </w:tc>
        <w:tc>
          <w:tcPr>
            <w:tcW w:type="dxa" w:w="331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2B3E50"/>
                <w:sz w:val="19"/>
              </w:rPr>
              <w:t>First Nations &amp; Open Science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Unfunded / Departmental: </w:t>
            </w:r>
            <w:r>
              <w:rPr>
                <w:b/>
                <w:sz w:val="17"/>
              </w:rPr>
              <w:t>6</w:t>
              <w:br/>
            </w:r>
            <w:r>
              <w:rPr>
                <w:sz w:val="17"/>
              </w:rPr>
              <w:t xml:space="preserve">• Commonwealth (NHMRC/MRFF): </w:t>
            </w:r>
            <w:r>
              <w:rPr>
                <w:b/>
                <w:sz w:val="17"/>
              </w:rPr>
              <w:t>3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Other Biomedical / Translational: </w:t>
            </w:r>
            <w:r>
              <w:rPr>
                <w:b/>
                <w:sz w:val="17"/>
              </w:rPr>
              <w:t>6</w:t>
              <w:br/>
            </w:r>
            <w:r>
              <w:rPr>
                <w:sz w:val="17"/>
              </w:rPr>
              <w:t xml:space="preserve">• Observational / Cohort Study: </w:t>
            </w:r>
            <w:r>
              <w:rPr>
                <w:b/>
                <w:sz w:val="17"/>
              </w:rPr>
              <w:t>2</w:t>
              <w:br/>
            </w:r>
            <w:r>
              <w:rPr>
                <w:sz w:val="17"/>
              </w:rPr>
              <w:t xml:space="preserve">• Randomized Controlled Trial: </w:t>
            </w:r>
            <w:r>
              <w:rPr>
                <w:b/>
                <w:sz w:val="17"/>
              </w:rPr>
              <w:t>1</w:t>
              <w:br/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sz w:val="17"/>
              </w:rPr>
              <w:t xml:space="preserve">• First Nations / Indigenous Focus: </w:t>
            </w:r>
            <w:r>
              <w:rPr>
                <w:b/>
                <w:color w:val="107C41"/>
                <w:sz w:val="17"/>
              </w:rPr>
              <w:t>1</w:t>
              <w:br/>
            </w:r>
            <w:r>
              <w:rPr>
                <w:sz w:val="17"/>
              </w:rPr>
              <w:t xml:space="preserve">• Open Access Publications: </w:t>
            </w:r>
            <w:r>
              <w:rPr>
                <w:b/>
                <w:sz w:val="17"/>
              </w:rPr>
              <w:t>6 (67%)</w:t>
              <w:br/>
            </w:r>
            <w:r>
              <w:rPr>
                <w:sz w:val="17"/>
              </w:rPr>
              <w:t xml:space="preserve">• Europe PMC / PMCID Full Text: </w:t>
            </w:r>
            <w:r>
              <w:rPr>
                <w:b/>
                <w:sz w:val="17"/>
              </w:rPr>
              <w:t>3</w:t>
              <w:br/>
            </w:r>
          </w:p>
        </w:tc>
      </w:tr>
    </w:tbl>
    <w:p>
      <w:pPr>
        <w:spacing w:before="400" w:after="160"/>
      </w:pPr>
      <w:r>
        <w:rPr>
          <w:b/>
          <w:color w:val="005C8A"/>
          <w:sz w:val="26"/>
        </w:rPr>
        <w:t>2. Publications Register (9 Records)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1. </w:t>
      </w:r>
      <w:r>
        <w:rPr>
          <w:b/>
          <w:sz w:val="21"/>
        </w:rPr>
        <w:t>An Extraordinary Wet Season and a Surge of Melioidosis: A Retrospective Case Series From a Tropical Emergency Department.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Colin Banks; Amanda McConnell; Christopher S Heather; Maisie Stephen; Kristen-Jürgen Schroeder; Isaac Tredinnick; Shannon Wong; Vinay Gangathimmaiah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Emergency medicine Australasia : EMA (2026)  </w:t>
      </w:r>
      <w:r>
        <w:t xml:space="preserve">DOI: </w:t>
      </w:r>
      <w:hyperlink r:id="rId9">
        <w:r>
          <w:rPr>
            <w:color w:val="005C8A"/>
            <w:u w:val="single"/>
          </w:rPr>
          <w:t>10.1111/1742-6723.70325</w:t>
        </w:r>
      </w:hyperlink>
      <w:r>
        <w:t xml:space="preserve">  </w:t>
      </w:r>
      <w:r>
        <w:t xml:space="preserve">PMID: </w:t>
      </w:r>
      <w:hyperlink r:id="rId10">
        <w:r>
          <w:rPr>
            <w:color w:val="005C8A"/>
            <w:u w:val="single"/>
          </w:rPr>
          <w:t>42552990</w:t>
        </w:r>
      </w:hyperlink>
      <w:r>
        <w:t xml:space="preserve">  </w:t>
      </w:r>
      <w:r>
        <w:t xml:space="preserve">PMCID: </w:t>
      </w:r>
      <w:hyperlink r:id="rId11">
        <w:r>
          <w:rPr>
            <w:color w:val="005C8A"/>
            <w:u w:val="single"/>
          </w:rPr>
          <w:t>PMC13439333</w:t>
        </w:r>
      </w:hyperlink>
      <w:r>
        <w:t xml:space="preserve">  </w:t>
      </w:r>
      <w:r>
        <w:t xml:space="preserve">OA: </w:t>
      </w:r>
      <w:hyperlink r:id="rId12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Study Design: </w:t>
      </w:r>
      <w:r>
        <w:rPr>
          <w:sz w:val="17"/>
        </w:rPr>
        <w:t xml:space="preserve">Observational / Cohort Study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Hospital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2. </w:t>
      </w:r>
      <w:r>
        <w:rPr>
          <w:b/>
          <w:sz w:val="21"/>
        </w:rPr>
        <w:t>An Uncommon Cause of Small Bowel Obstruction-Duodenal Enterolith.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Adam McNamara; Matthew Corbitt; Aemelia Melloy; Heng Chin Chiam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ANZ journal of surgery (2026)  </w:t>
      </w:r>
      <w:r>
        <w:t xml:space="preserve">DOI: </w:t>
      </w:r>
      <w:hyperlink r:id="rId13">
        <w:r>
          <w:rPr>
            <w:color w:val="005C8A"/>
            <w:u w:val="single"/>
          </w:rPr>
          <w:t>10.1111/ans.70867</w:t>
        </w:r>
      </w:hyperlink>
      <w:r>
        <w:t xml:space="preserve">  </w:t>
      </w:r>
      <w:r>
        <w:t xml:space="preserve">PMID: </w:t>
      </w:r>
      <w:hyperlink r:id="rId14">
        <w:r>
          <w:rPr>
            <w:color w:val="005C8A"/>
            <w:u w:val="single"/>
          </w:rPr>
          <w:t>42552226</w:t>
        </w:r>
      </w:hyperlink>
      <w:r>
        <w:t xml:space="preserve">  </w:t>
      </w:r>
      <w:r>
        <w:t xml:space="preserve">OA: </w:t>
      </w:r>
      <w:hyperlink r:id="rId15">
        <w:r>
          <w:rPr>
            <w:color w:val="107C41"/>
            <w:u w:val="single"/>
          </w:rPr>
          <w:t>Green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3. </w:t>
      </w:r>
      <w:r>
        <w:rPr>
          <w:b/>
          <w:sz w:val="21"/>
        </w:rPr>
        <w:t>Carpal Tunnel Syndrome Diagnostic Method and Surgical Wait Times: Do They Relate and Can We Do It Better?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Darren Anderson; Fintan Thompson; Kathryn McFARLANE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The journal of hand surgery Asian-Pacific volume (2026)  </w:t>
      </w:r>
      <w:r>
        <w:t xml:space="preserve">DOI: </w:t>
      </w:r>
      <w:hyperlink r:id="rId16">
        <w:r>
          <w:rPr>
            <w:color w:val="005C8A"/>
            <w:u w:val="single"/>
          </w:rPr>
          <w:t>10.1142/s2424835526500505</w:t>
        </w:r>
      </w:hyperlink>
      <w:r>
        <w:t xml:space="preserve">  </w:t>
      </w:r>
      <w:r>
        <w:t xml:space="preserve">PMID: </w:t>
      </w:r>
      <w:hyperlink r:id="rId17">
        <w:r>
          <w:rPr>
            <w:color w:val="005C8A"/>
            <w:u w:val="single"/>
          </w:rPr>
          <w:t>42687789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4. </w:t>
      </w:r>
      <w:r>
        <w:rPr>
          <w:b/>
          <w:sz w:val="21"/>
        </w:rPr>
        <w:t>Enhancing Physically Active Leisure Participation for Children With Cerebral Palsy: A Randomized Controlled Trial.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Leanne Sakzewski; Sarah Reedman; Catherine Elliott; Iona Novak; Stewart G Trost; Annette Majnemer; Keiko Shikako; Robert Ware; Lynda McNamara; Sian Williams; Denise Brookes; Roslyn N Boyd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Pediatrics (2026)  </w:t>
      </w:r>
      <w:r>
        <w:t xml:space="preserve">DOI: </w:t>
      </w:r>
      <w:hyperlink r:id="rId18">
        <w:r>
          <w:rPr>
            <w:color w:val="005C8A"/>
            <w:u w:val="single"/>
          </w:rPr>
          <w:t>10.1542/peds.2025-075162</w:t>
        </w:r>
      </w:hyperlink>
      <w:r>
        <w:t xml:space="preserve">  </w:t>
      </w:r>
      <w:r>
        <w:t xml:space="preserve">PMID: </w:t>
      </w:r>
      <w:hyperlink r:id="rId19">
        <w:r>
          <w:rPr>
            <w:color w:val="005C8A"/>
            <w:u w:val="single"/>
          </w:rPr>
          <w:t>42425531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Study Design: </w:t>
      </w:r>
      <w:r>
        <w:rPr>
          <w:sz w:val="17"/>
        </w:rPr>
        <w:t xml:space="preserve">Randomized Controlled Trial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5. </w:t>
      </w:r>
      <w:r>
        <w:rPr>
          <w:b/>
          <w:sz w:val="21"/>
        </w:rPr>
        <w:t>Following in Elders' Footsteps: Yarning About Ageing Well in the Torres Strait.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Rachel Quigley; Chenoa Wapau; Betty Sagigi; Sarah G Russell; Sean Taylor; Sarah Larkins; Edward Strivens; Michelle Redman-MacLaren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Qualitative health research (2026)  </w:t>
      </w:r>
      <w:r>
        <w:t xml:space="preserve">DOI: </w:t>
      </w:r>
      <w:hyperlink r:id="rId20">
        <w:r>
          <w:rPr>
            <w:color w:val="005C8A"/>
            <w:u w:val="single"/>
          </w:rPr>
          <w:t>10.1177/10497323251335210</w:t>
        </w:r>
      </w:hyperlink>
      <w:r>
        <w:t xml:space="preserve">  </w:t>
      </w:r>
      <w:r>
        <w:t xml:space="preserve">PMID: </w:t>
      </w:r>
      <w:hyperlink r:id="rId21">
        <w:r>
          <w:rPr>
            <w:color w:val="005C8A"/>
            <w:u w:val="single"/>
          </w:rPr>
          <w:t>40293757</w:t>
        </w:r>
      </w:hyperlink>
      <w:r>
        <w:t xml:space="preserve">  </w:t>
      </w:r>
      <w:r>
        <w:t xml:space="preserve">PMCID: </w:t>
      </w:r>
      <w:hyperlink r:id="rId22">
        <w:r>
          <w:rPr>
            <w:color w:val="005C8A"/>
            <w:u w:val="single"/>
          </w:rPr>
          <w:t>PMC13338478</w:t>
        </w:r>
      </w:hyperlink>
      <w:r>
        <w:t xml:space="preserve">  </w:t>
      </w:r>
      <w:r>
        <w:t xml:space="preserve">OA: </w:t>
      </w:r>
      <w:hyperlink r:id="rId23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color w:val="107C41"/>
          <w:sz w:val="17"/>
        </w:rPr>
        <w:t xml:space="preserve">[First Nations Health Focus]  </w:t>
      </w:r>
      <w:r>
        <w:rPr>
          <w:b/>
          <w:sz w:val="17"/>
        </w:rPr>
        <w:t xml:space="preserve">Funding: </w:t>
      </w:r>
      <w:r>
        <w:rPr>
          <w:sz w:val="17"/>
        </w:rPr>
        <w:t xml:space="preserve">Commonwealth (NHMRC/MRFF)  </w:t>
      </w:r>
      <w:r>
        <w:rPr>
          <w:i/>
          <w:sz w:val="16"/>
        </w:rPr>
        <w:t xml:space="preserve">(Grant: GNT 1170393; GNT 1170393)  </w:t>
      </w:r>
      <w:r>
        <w:rPr>
          <w:b/>
          <w:sz w:val="17"/>
        </w:rPr>
        <w:t xml:space="preserve">Field: </w:t>
      </w:r>
      <w:r>
        <w:rPr>
          <w:sz w:val="17"/>
        </w:rPr>
        <w:t>Social Sciences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6. </w:t>
      </w:r>
      <w:r>
        <w:rPr>
          <w:b/>
          <w:sz w:val="21"/>
        </w:rPr>
        <w:t>Issues in the clinical assessment and management of people living with motor neurone disease (MND): a survey of Australian healthcare professionals.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Ines Semendric; Zachary Munn; Tom Jenkins; Alicia Edwards; Victoria Tull; Vivienne Travlos; Karen Hutchinson; Lillian Krikheli; Nicole Sheers; Lesley-Ann Hall; Phyllis Chua; Nicole Hatch; Peter Allcroft; Barry Werth; Annie Saffrett; Jaclyn Yoong; Laura Cooper; Monique Signorelli; Emily Farrugia; Emma Devenney; Arabelle Douglas; Alicia Gibb; Mandi Macshane; Matthew Gardiner; Annette Collins; Jie Yang; Bernadette Rogerson; David Schultz; Deidre Lim; Fiona Fisher; Helen Herz; Holly Puckering; Ingrid Swain; John Cameron; Laura Donnelly; Leanne Davis; Lilian Anderson; Melissa Acampora; Rachel Heatley; Shana Taubert; Timothy Sheehy; Trinh Sia; Vinod Aiyappan; William Huynh; Cindy Stern; Australian MND Guideline Clinical and Content Advisory Group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Amyotrophic lateral sclerosis &amp; frontotemporal degeneration (2026)  </w:t>
      </w:r>
      <w:r>
        <w:t xml:space="preserve">DOI: </w:t>
      </w:r>
      <w:hyperlink r:id="rId24">
        <w:r>
          <w:rPr>
            <w:color w:val="005C8A"/>
            <w:u w:val="single"/>
          </w:rPr>
          <w:t>10.1080/21678421.2026.2710550</w:t>
        </w:r>
      </w:hyperlink>
      <w:r>
        <w:t xml:space="preserve">  </w:t>
      </w:r>
      <w:r>
        <w:t xml:space="preserve">PMID: </w:t>
      </w:r>
      <w:hyperlink r:id="rId25">
        <w:r>
          <w:rPr>
            <w:color w:val="005C8A"/>
            <w:u w:val="single"/>
          </w:rPr>
          <w:t>42565285</w:t>
        </w:r>
      </w:hyperlink>
      <w:r>
        <w:t xml:space="preserve">  </w:t>
      </w:r>
      <w:r>
        <w:t xml:space="preserve">OA: </w:t>
      </w:r>
      <w:hyperlink r:id="rId24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Funding: </w:t>
      </w:r>
      <w:r>
        <w:rPr>
          <w:sz w:val="17"/>
        </w:rPr>
        <w:t xml:space="preserve">Commonwealth (NHMRC/MRFF)  </w:t>
      </w:r>
      <w:r>
        <w:rPr>
          <w:i/>
          <w:sz w:val="16"/>
        </w:rPr>
        <w:t xml:space="preserve">(Grant: 100014012; 1195676; 100014012; 1195676)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7. </w:t>
      </w:r>
      <w:r>
        <w:rPr>
          <w:b/>
          <w:sz w:val="21"/>
        </w:rPr>
        <w:t>Physiotherapy at night: A multicentre prospective audit of respiratory-based physiotherapy services provided at night in Queensland.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Claire Hackett; Jemima Boyd; Jared Bruning; Tamara Lazzarin; Kate McCleary; Marnie McGorm; Lauren O'Connor; Jai Peach; Kelli Rebetzke; Michelle Whap; Peter Thomas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Australian critical care : official journal of the Confederation of Australian Critical Care Nurses (2026)  </w:t>
      </w:r>
      <w:r>
        <w:t xml:space="preserve">DOI: </w:t>
      </w:r>
      <w:hyperlink r:id="rId26">
        <w:r>
          <w:rPr>
            <w:color w:val="005C8A"/>
            <w:u w:val="single"/>
          </w:rPr>
          <w:t>10.1016/j.aucc.2026.101622</w:t>
        </w:r>
      </w:hyperlink>
      <w:r>
        <w:t xml:space="preserve">  </w:t>
      </w:r>
      <w:r>
        <w:t xml:space="preserve">PMID: </w:t>
      </w:r>
      <w:hyperlink r:id="rId27">
        <w:r>
          <w:rPr>
            <w:color w:val="005C8A"/>
            <w:u w:val="single"/>
          </w:rPr>
          <w:t>42241997</w:t>
        </w:r>
      </w:hyperlink>
      <w:r>
        <w:t xml:space="preserve">  </w:t>
      </w:r>
      <w:r>
        <w:t xml:space="preserve">OA: </w:t>
      </w:r>
      <w:hyperlink r:id="rId28">
        <w:r>
          <w:rPr>
            <w:color w:val="107C41"/>
            <w:u w:val="single"/>
          </w:rPr>
          <w:t>Hybrid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Study Design: </w:t>
      </w:r>
      <w:r>
        <w:rPr>
          <w:sz w:val="17"/>
        </w:rPr>
        <w:t xml:space="preserve">Observational / Cohort Study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Hospital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8. </w:t>
      </w:r>
      <w:r>
        <w:rPr>
          <w:b/>
          <w:sz w:val="21"/>
        </w:rPr>
        <w:t>Second primary invasive cutaneous melanomas in Queensland over 4 decades.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Danny R Youlden; Victoria Atkinson; Mark B Pinkham; Andrew Barbour; Wen Xu; Kiarash Khosrotehrani; Melissa Eastgate; Megan Lyle; Solange Green; Artika Nath; Theresa Negrello; Danica Cossio; B Mark Smithers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The Journal of investigative dermatology (2026)  </w:t>
      </w:r>
      <w:r>
        <w:t xml:space="preserve">DOI: </w:t>
      </w:r>
      <w:hyperlink r:id="rId29">
        <w:r>
          <w:rPr>
            <w:color w:val="005C8A"/>
            <w:u w:val="single"/>
          </w:rPr>
          <w:t>10.1016/j.jid.2026.01.026</w:t>
        </w:r>
      </w:hyperlink>
      <w:r>
        <w:t xml:space="preserve">  </w:t>
      </w:r>
      <w:r>
        <w:t xml:space="preserve">PMID: </w:t>
      </w:r>
      <w:hyperlink r:id="rId30">
        <w:r>
          <w:rPr>
            <w:color w:val="005C8A"/>
            <w:u w:val="single"/>
          </w:rPr>
          <w:t>41944800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and Hinterland HHS</w:t>
      </w:r>
    </w:p>
    <w:p>
      <w:pPr>
        <w:spacing w:before="200" w:after="40"/>
      </w:pPr>
      <w:r>
        <w:rPr>
          <w:b/>
          <w:color w:val="005C8A"/>
          <w:sz w:val="21"/>
        </w:rPr>
        <w:t xml:space="preserve">9. </w:t>
      </w:r>
      <w:r>
        <w:rPr>
          <w:b/>
          <w:sz w:val="21"/>
        </w:rPr>
        <w:t>Standardised training for reducing peritoneal dialysis-related infection: a cluster randomised controlled study.</w:t>
      </w:r>
    </w:p>
    <w:p>
      <w:pPr>
        <w:spacing w:before="0" w:after="40"/>
        <w:ind w:left="360"/>
      </w:pPr>
      <w:r>
        <w:rPr>
          <w:b/>
          <w:sz w:val="18"/>
        </w:rPr>
        <w:t xml:space="preserve">Authors: </w:t>
      </w:r>
      <w:r>
        <w:rPr>
          <w:color w:val="2B3E50"/>
          <w:sz w:val="18"/>
        </w:rPr>
        <w:t>Josephine Sf Chow; Neil Boudville; Suetonia Green; Yeoungjee Cho; Gabor Mihala; Jessica Kasza; Ruth Campbell; Hayley Candler; Carmel M Hawley; Laura E Hickey; Charani Kiriwandeniya; Misa Matsuyama; Ramya Movva; Elaine M Pascoe; Donna M Reidlinger; Andrea Valks; Pushparaj Velayudham; Liza Vergara; Carolyn Armstrong; Bernadette Buisman; Keri-Lu Equinox; Ana E Figueiredo; Trudi Fuge; Rachel Haselden; Ashik Hayat; Kirsten Howard; Martin Howell; Allison Jaure; Matthew D Jose; Anna Lee; Susana San Miguel; Jo-Anne Moodie; Thu T Nguyen; Walaa Wm Saweirs; Genevieve Z Steiner-Lim; Melinda Tomlins; Megan Upjohn; David Voss; Rachael C Walker; David W Johnson; Collaborative Authors</w:t>
      </w:r>
    </w:p>
    <w:p>
      <w:pPr>
        <w:spacing w:before="0" w:after="40"/>
        <w:ind w:left="360"/>
      </w:pPr>
      <w:r>
        <w:rPr>
          <w:b/>
          <w:sz w:val="17"/>
        </w:rPr>
        <w:t xml:space="preserve">Source &amp; Citation: </w:t>
      </w:r>
      <w:r>
        <w:t xml:space="preserve">EClinicalMedicine (2026)  </w:t>
      </w:r>
      <w:r>
        <w:t xml:space="preserve">DOI: </w:t>
      </w:r>
      <w:hyperlink r:id="rId31">
        <w:r>
          <w:rPr>
            <w:color w:val="005C8A"/>
            <w:u w:val="single"/>
          </w:rPr>
          <w:t>10.1016/j.eclinm.2026.104089</w:t>
        </w:r>
      </w:hyperlink>
      <w:r>
        <w:t xml:space="preserve">  </w:t>
      </w:r>
      <w:r>
        <w:t xml:space="preserve">PMID: </w:t>
      </w:r>
      <w:hyperlink r:id="rId32">
        <w:r>
          <w:rPr>
            <w:color w:val="005C8A"/>
            <w:u w:val="single"/>
          </w:rPr>
          <w:t>42542615</w:t>
        </w:r>
      </w:hyperlink>
      <w:r>
        <w:t xml:space="preserve">  </w:t>
      </w:r>
      <w:r>
        <w:t xml:space="preserve">PMCID: </w:t>
      </w:r>
      <w:hyperlink r:id="rId33">
        <w:r>
          <w:rPr>
            <w:color w:val="005C8A"/>
            <w:u w:val="single"/>
          </w:rPr>
          <w:t>PMC13427580</w:t>
        </w:r>
      </w:hyperlink>
      <w:r>
        <w:t xml:space="preserve">  </w:t>
      </w:r>
      <w:r>
        <w:t xml:space="preserve">OA: </w:t>
      </w:r>
      <w:hyperlink r:id="rId34">
        <w:r>
          <w:rPr>
            <w:color w:val="107C41"/>
            <w:u w:val="single"/>
          </w:rPr>
          <w:t>Gold</w:t>
        </w:r>
      </w:hyperlink>
      <w:r>
        <w:t xml:space="preserve">  </w:t>
      </w:r>
      <w:r>
        <w:rPr>
          <w:b/>
          <w:sz w:val="17"/>
        </w:rPr>
        <w:t xml:space="preserve">Status: </w:t>
      </w:r>
      <w:r>
        <w:rPr>
          <w:b/>
          <w:color w:val="107C41"/>
          <w:sz w:val="17"/>
        </w:rPr>
        <w:t>Included</w:t>
      </w:r>
    </w:p>
    <w:p>
      <w:pPr>
        <w:spacing w:before="0" w:after="40"/>
        <w:ind w:left="360"/>
      </w:pPr>
      <w:r>
        <w:rPr>
          <w:b/>
          <w:sz w:val="17"/>
        </w:rPr>
        <w:t xml:space="preserve">Funding: </w:t>
      </w:r>
      <w:r>
        <w:rPr>
          <w:sz w:val="17"/>
        </w:rPr>
        <w:t xml:space="preserve">Commonwealth (NHMRC/MRFF)  </w:t>
      </w:r>
      <w:r>
        <w:rPr>
          <w:b/>
          <w:sz w:val="17"/>
        </w:rPr>
        <w:t xml:space="preserve">Field: </w:t>
      </w:r>
      <w:r>
        <w:rPr>
          <w:sz w:val="17"/>
        </w:rPr>
        <w:t>Medicine</w:t>
      </w:r>
    </w:p>
    <w:p>
      <w:pPr>
        <w:spacing w:before="0" w:after="80"/>
        <w:ind w:left="360"/>
      </w:pPr>
      <w:r>
        <w:rPr>
          <w:b/>
          <w:color w:val="005C8A"/>
          <w:sz w:val="17"/>
        </w:rPr>
        <w:t xml:space="preserve">Matched Facilities: </w:t>
      </w:r>
      <w:r>
        <w:rPr>
          <w:sz w:val="17"/>
        </w:rPr>
        <w:t>Cairns Hospital</w:t>
      </w:r>
    </w:p>
    <w:p>
      <w:pPr>
        <w:spacing w:before="560" w:after="0"/>
      </w:pPr>
      <w:r>
        <w:rPr>
          <w:i/>
          <w:color w:val="646E78"/>
          <w:sz w:val="16"/>
        </w:rPr>
        <w:t>Report verified under CHHHS Research Governance Framework. Publications attributed to Cairns Hospital, Liz Plummer Cancer Care Centre, and affiliated sites.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11/1742-6723.70325" TargetMode="External"/><Relationship Id="rId10" Type="http://schemas.openxmlformats.org/officeDocument/2006/relationships/hyperlink" Target="https://pubmed.ncbi.nlm.nih.gov/42552990/" TargetMode="External"/><Relationship Id="rId11" Type="http://schemas.openxmlformats.org/officeDocument/2006/relationships/hyperlink" Target="https://europepmc.org/articles/PMC13439333" TargetMode="External"/><Relationship Id="rId12" Type="http://schemas.openxmlformats.org/officeDocument/2006/relationships/hyperlink" Target="https://europepmc.org/articles/PMC13439333?pdf=render" TargetMode="External"/><Relationship Id="rId13" Type="http://schemas.openxmlformats.org/officeDocument/2006/relationships/hyperlink" Target="https://doi.org/10.1111/ans.70867" TargetMode="External"/><Relationship Id="rId14" Type="http://schemas.openxmlformats.org/officeDocument/2006/relationships/hyperlink" Target="https://pubmed.ncbi.nlm.nih.gov/42552226/" TargetMode="External"/><Relationship Id="rId15" Type="http://schemas.openxmlformats.org/officeDocument/2006/relationships/hyperlink" Target="https://hdl.handle.net/10072/442846" TargetMode="External"/><Relationship Id="rId16" Type="http://schemas.openxmlformats.org/officeDocument/2006/relationships/hyperlink" Target="https://doi.org/10.1142/s2424835526500505" TargetMode="External"/><Relationship Id="rId17" Type="http://schemas.openxmlformats.org/officeDocument/2006/relationships/hyperlink" Target="https://pubmed.ncbi.nlm.nih.gov/42687789/" TargetMode="External"/><Relationship Id="rId18" Type="http://schemas.openxmlformats.org/officeDocument/2006/relationships/hyperlink" Target="https://doi.org/10.1542/peds.2025-075162" TargetMode="External"/><Relationship Id="rId19" Type="http://schemas.openxmlformats.org/officeDocument/2006/relationships/hyperlink" Target="https://pubmed.ncbi.nlm.nih.gov/42425531/" TargetMode="External"/><Relationship Id="rId20" Type="http://schemas.openxmlformats.org/officeDocument/2006/relationships/hyperlink" Target="https://doi.org/10.1177/10497323251335210" TargetMode="External"/><Relationship Id="rId21" Type="http://schemas.openxmlformats.org/officeDocument/2006/relationships/hyperlink" Target="https://pubmed.ncbi.nlm.nih.gov/40293757/" TargetMode="External"/><Relationship Id="rId22" Type="http://schemas.openxmlformats.org/officeDocument/2006/relationships/hyperlink" Target="https://europepmc.org/articles/PMC13338478" TargetMode="External"/><Relationship Id="rId23" Type="http://schemas.openxmlformats.org/officeDocument/2006/relationships/hyperlink" Target="https://europepmc.org/articles/PMC13338478?pdf=render" TargetMode="External"/><Relationship Id="rId24" Type="http://schemas.openxmlformats.org/officeDocument/2006/relationships/hyperlink" Target="https://doi.org/10.1080/21678421.2026.2710550" TargetMode="External"/><Relationship Id="rId25" Type="http://schemas.openxmlformats.org/officeDocument/2006/relationships/hyperlink" Target="https://pubmed.ncbi.nlm.nih.gov/42565285/" TargetMode="External"/><Relationship Id="rId26" Type="http://schemas.openxmlformats.org/officeDocument/2006/relationships/hyperlink" Target="https://doi.org/10.1016/j.aucc.2026.101622" TargetMode="External"/><Relationship Id="rId27" Type="http://schemas.openxmlformats.org/officeDocument/2006/relationships/hyperlink" Target="https://pubmed.ncbi.nlm.nih.gov/42241997/" TargetMode="External"/><Relationship Id="rId28" Type="http://schemas.openxmlformats.org/officeDocument/2006/relationships/hyperlink" Target="https://www.australiancriticalcare.com/article/S1036-7314(26)00092-5/pdf" TargetMode="External"/><Relationship Id="rId29" Type="http://schemas.openxmlformats.org/officeDocument/2006/relationships/hyperlink" Target="https://doi.org/10.1016/j.jid.2026.01.026" TargetMode="External"/><Relationship Id="rId30" Type="http://schemas.openxmlformats.org/officeDocument/2006/relationships/hyperlink" Target="https://pubmed.ncbi.nlm.nih.gov/41944800/" TargetMode="External"/><Relationship Id="rId31" Type="http://schemas.openxmlformats.org/officeDocument/2006/relationships/hyperlink" Target="https://doi.org/10.1016/j.eclinm.2026.104089" TargetMode="External"/><Relationship Id="rId32" Type="http://schemas.openxmlformats.org/officeDocument/2006/relationships/hyperlink" Target="https://pubmed.ncbi.nlm.nih.gov/42542615/" TargetMode="External"/><Relationship Id="rId33" Type="http://schemas.openxmlformats.org/officeDocument/2006/relationships/hyperlink" Target="https://europepmc.org/articles/PMC13427580" TargetMode="External"/><Relationship Id="rId34" Type="http://schemas.openxmlformats.org/officeDocument/2006/relationships/hyperlink" Target="https://europepmc.org/articles/PMC13427580?pdf=r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