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xecutive-brief-v0.8.0"/>
    <w:p>
      <w:pPr>
        <w:pStyle w:val="Heading1"/>
      </w:pPr>
      <w:r>
        <w:t xml:space="preserve">Executive brief v0.8.0</w:t>
      </w:r>
    </w:p>
    <w:bookmarkStart w:id="20" w:name="X7c3866ee0bb72d223dcd872ace7c0d6ccb4d12c"/>
    <w:p>
      <w:pPr>
        <w:pStyle w:val="Heading2"/>
      </w:pPr>
      <w:r>
        <w:t xml:space="preserve">Primary care funding architecture in Aotearoa New Zealand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 demonstrative synthesis, not empirical proof.</w:t>
      </w:r>
      <w:r>
        <w:br/>
      </w:r>
      <w:r>
        <w:rPr>
          <w:b/>
          <w:bCs/>
        </w:rPr>
        <w:t xml:space="preserve">Core thesis:</w:t>
      </w:r>
      <w:r>
        <w:t xml:space="preserve"> </w:t>
      </w:r>
      <w:r>
        <w:t xml:space="preserve">New Zealand may be managing primary care and ambulance funding so tightly that unmet need is channelled into hospitals, where demand becomes more visible, urgent and fundable.</w:t>
      </w:r>
    </w:p>
    <w:bookmarkEnd w:id="20"/>
    <w:bookmarkStart w:id="21" w:name="recommended-architecture"/>
    <w:p>
      <w:pPr>
        <w:pStyle w:val="Heading2"/>
      </w:pPr>
      <w:r>
        <w:t xml:space="preserve">Recommended architecture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National Primary Care Benefits Schedule</w:t>
      </w:r>
      <w:r>
        <w:t xml:space="preserve"> </w:t>
      </w:r>
      <w:r>
        <w:t xml:space="preserve">layered onto capitation:</w:t>
      </w:r>
    </w:p>
    <w:p>
      <w:pPr>
        <w:pStyle w:val="Compact"/>
        <w:numPr>
          <w:ilvl w:val="0"/>
          <w:numId w:val="1001"/>
        </w:numPr>
      </w:pPr>
      <w:r>
        <w:t xml:space="preserve">capitation for continuity, enrolment, baseline viability and population accountability;</w:t>
      </w:r>
    </w:p>
    <w:p>
      <w:pPr>
        <w:pStyle w:val="Compact"/>
        <w:numPr>
          <w:ilvl w:val="0"/>
          <w:numId w:val="1001"/>
        </w:numPr>
      </w:pPr>
      <w:r>
        <w:t xml:space="preserve">demand-driven benefits for eligible primary, urgent, chronic, procedural and ambulance/prehospital contact types;</w:t>
      </w:r>
    </w:p>
    <w:p>
      <w:pPr>
        <w:pStyle w:val="Compact"/>
        <w:numPr>
          <w:ilvl w:val="0"/>
          <w:numId w:val="1001"/>
        </w:numPr>
      </w:pPr>
      <w:r>
        <w:t xml:space="preserve">provider eligibility based on scope, credentialing and clinical governance, not professional category alone;</w:t>
      </w:r>
    </w:p>
    <w:p>
      <w:pPr>
        <w:pStyle w:val="Compact"/>
        <w:numPr>
          <w:ilvl w:val="0"/>
          <w:numId w:val="1001"/>
        </w:numPr>
      </w:pPr>
      <w:r>
        <w:t xml:space="preserve">direct or optional claiming through a national rules-based platform;</w:t>
      </w:r>
    </w:p>
    <w:p>
      <w:pPr>
        <w:pStyle w:val="Compact"/>
        <w:numPr>
          <w:ilvl w:val="0"/>
          <w:numId w:val="1001"/>
        </w:numPr>
      </w:pPr>
      <w:r>
        <w:t xml:space="preserve">PHO/locality functions preserved where useful, but not necessarily as mandatory payment gateways;</w:t>
      </w:r>
    </w:p>
    <w:p>
      <w:pPr>
        <w:pStyle w:val="Compact"/>
        <w:numPr>
          <w:ilvl w:val="0"/>
          <w:numId w:val="1001"/>
        </w:numPr>
      </w:pPr>
      <w:r>
        <w:t xml:space="preserve">co-payment protections for equity;</w:t>
      </w:r>
    </w:p>
    <w:p>
      <w:pPr>
        <w:pStyle w:val="Compact"/>
        <w:numPr>
          <w:ilvl w:val="0"/>
          <w:numId w:val="1001"/>
        </w:numPr>
      </w:pPr>
      <w:r>
        <w:t xml:space="preserve">ambulance alternatives funded and measured as access infrastructure;</w:t>
      </w:r>
    </w:p>
    <w:p>
      <w:pPr>
        <w:pStyle w:val="Compact"/>
        <w:numPr>
          <w:ilvl w:val="0"/>
          <w:numId w:val="1001"/>
        </w:numPr>
      </w:pPr>
      <w:r>
        <w:t xml:space="preserve">top-tier KPIs for primary care and ambulance alongside hospital targets.</w:t>
      </w:r>
    </w:p>
    <w:bookmarkEnd w:id="21"/>
    <w:bookmarkStart w:id="22" w:name="model-finding"/>
    <w:p>
      <w:pPr>
        <w:pStyle w:val="Heading2"/>
      </w:pPr>
      <w:r>
        <w:t xml:space="preserve">Model finding</w:t>
      </w:r>
    </w:p>
    <w:p>
      <w:pPr>
        <w:pStyle w:val="FirstParagraph"/>
      </w:pPr>
      <w:r>
        <w:t xml:space="preserve">The v0.8.0 hybrid model compares five scenarios.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Hybrid viability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 Status quo tight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quo equilibrium: upstream sectors are tightly managed while hospital pressure remains visible and fundable.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 Capitation reweighting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Improves allocation inside capitation but leaves the marginal supply and hospital-rescue games largely intact.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 Primary Care Benefits Schedule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Materially improves supply and hospital-pressure logic, but still needs stronger ambulance, equity, data and governance architecture.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 Full upstream access architecture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Best-performing demonstrative architecture: demand-driven where eligible, but governed by scope, safety, data, KPIs and equity protections.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 Loose benefits, weak controls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why benefits cannot be loose: access rises, but fiscal/gaming/equity risks weaken viability.</w:t>
            </w:r>
          </w:p>
        </w:tc>
      </w:tr>
    </w:tbl>
    <w:bookmarkEnd w:id="22"/>
    <w:bookmarkStart w:id="23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model supports a middle path:</w:t>
      </w:r>
    </w:p>
    <w:p>
      <w:pPr>
        <w:pStyle w:val="BlockText"/>
      </w:pPr>
      <w:r>
        <w:rPr>
          <w:b/>
          <w:bCs/>
        </w:rPr>
        <w:t xml:space="preserve">Demand-driven within rules; not demand-driven without rules.</w:t>
      </w:r>
    </w:p>
    <w:p>
      <w:pPr>
        <w:pStyle w:val="FirstParagraph"/>
      </w:pPr>
      <w:r>
        <w:t xml:space="preserve">The next step is empirical validation through OIA/data access, stakeholder validation, equity/Te Tiriti review and calibrated simulation.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2026-05-08T00:48:38Z</dcterms:created>
  <dcterms:modified xsi:type="dcterms:W3CDTF">2026-05-08T00:48:38Z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