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5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99ba667a591322a16125bceefd329450858472c"/>
    <w:p>
      <w:pPr>
        <w:pStyle w:val="Heading1"/>
      </w:pPr>
      <w:r>
        <w:t xml:space="preserve">Game-informed MCDA decision-support report v0.9.0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Primary care funding architecture in Australia and New Zealand</w:t>
      </w:r>
      <w:r>
        <w:br/>
      </w:r>
      <w:r>
        <w:rPr>
          <w:b/>
          <w:bCs/>
        </w:rPr>
        <w:t xml:space="preserve">Focus:</w:t>
      </w:r>
      <w:r>
        <w:t xml:space="preserve"> </w:t>
      </w:r>
      <w:r>
        <w:t xml:space="preserve">New Zealand upstream access, primary care, ambulance and hospital-pressure games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v0.9.0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Demonstrative decision-support layer; not empirically calibrated</w:t>
      </w:r>
    </w:p>
    <w:bookmarkStart w:id="23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report adds a game-informed MCDA layer to the final hybrid model. The purpose is to help decision-makers evaluate whether the mapped games matter, how strongly each game contributes to the policy problem, and which policy options are most likely to move the system toward better equilibria.</w:t>
      </w:r>
    </w:p>
    <w:p>
      <w:pPr>
        <w:pStyle w:val="BodyText"/>
      </w:pPr>
      <w:r>
        <w:t xml:space="preserve">The MCDA does not replace empirical modelling. It makes judgement explicit. It is designed for RACMA discussion, stakeholder workshops, policy option screening and validation planning.</w:t>
      </w:r>
    </w:p>
    <w:p>
      <w:pPr>
        <w:pStyle w:val="BodyText"/>
      </w:pPr>
      <w:r>
        <w:t xml:space="preserve">The central thesis remains:</w:t>
      </w:r>
    </w:p>
    <w:p>
      <w:pPr>
        <w:pStyle w:val="BlockText"/>
      </w:pPr>
      <w:r>
        <w:t xml:space="preserve">New Zealand may be managing primary care and ambulance activity so tightly that unmet need is channelled into hospitals by default.</w:t>
      </w:r>
    </w:p>
    <w:p>
      <w:pPr>
        <w:pStyle w:val="FirstParagraph"/>
      </w:pPr>
      <w:r>
        <w:t xml:space="preserve">The MCDA translates that thesis into two decision-support tools: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Diagnostic game-position mapping</w:t>
      </w:r>
      <w:r>
        <w:t xml:space="preserve">: where does each game currently sit, and how important is it?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Policy-option MCDA</w:t>
      </w:r>
      <w:r>
        <w:t xml:space="preserve">: which reform option best balances access, equity, hospital deflection, fiscal control, governance, market entry and feasibility?</w:t>
      </w:r>
    </w:p>
    <w:p>
      <w:pPr>
        <w:pStyle w:val="CaptionedFigure"/>
      </w:pPr>
      <w:r>
        <w:drawing>
          <wp:inline>
            <wp:extent cx="5334000" cy="3368842"/>
            <wp:effectExtent b="0" l="0" r="0" t="0"/>
            <wp:docPr descr="Default MCDA ranking" title="" id="21" name="Picture"/>
            <a:graphic>
              <a:graphicData uri="http://schemas.openxmlformats.org/drawingml/2006/picture">
                <pic:pic>
                  <pic:nvPicPr>
                    <pic:cNvPr descr="mcda-default-ranking-v0.9.0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8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Default MCDA ranking</w:t>
      </w:r>
    </w:p>
    <w:bookmarkEnd w:id="23"/>
    <w:bookmarkStart w:id="24" w:name="why-mcda-is-useful-here"/>
    <w:p>
      <w:pPr>
        <w:pStyle w:val="Heading2"/>
      </w:pPr>
      <w:r>
        <w:t xml:space="preserve">Why MCDA is useful here</w:t>
      </w:r>
    </w:p>
    <w:p>
      <w:pPr>
        <w:pStyle w:val="FirstParagraph"/>
      </w:pPr>
      <w:r>
        <w:t xml:space="preserve">This policy problem is not just a technical funding-design problem. It also involves values, risk tolerance, professional boundaries, equity, Te Tiriti legitimacy, rural resilience, fiscal exposure, data observability and political feasibility.</w:t>
      </w:r>
    </w:p>
    <w:p>
      <w:pPr>
        <w:pStyle w:val="BodyText"/>
      </w:pPr>
      <w:r>
        <w:t xml:space="preserve">A pure model can show what follows from assumptions. MCDA shows which assumptions and values decision-makers are using.</w:t>
      </w:r>
    </w:p>
    <w:bookmarkEnd w:id="24"/>
    <w:bookmarkStart w:id="28" w:name="diagnostic-game-map"/>
    <w:p>
      <w:pPr>
        <w:pStyle w:val="Heading2"/>
      </w:pPr>
      <w:r>
        <w:t xml:space="preserve">Diagnostic game map</w:t>
      </w:r>
    </w:p>
    <w:p>
      <w:pPr>
        <w:pStyle w:val="FirstParagraph"/>
      </w:pPr>
      <w:r>
        <w:t xml:space="preserve">The highest-priority diagnostic games in the example scoring are: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576"/>
        <w:gridCol w:w="1730"/>
        <w:gridCol w:w="1940"/>
        <w:gridCol w:w="2255"/>
        <w:gridCol w:w="141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game_id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game_name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current_equilibrium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better_equilibrium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priority_score_0_to_100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KPI salience 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hospital-target dominance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upstream target salience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observability 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hidden-unmet-need equilibrium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observable upstream-flow equilibrium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Hospital-salience budget 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hospital-rescue equilibrium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upstream-salience equilibrium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Capitation marginal-supply 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marginal-rationing equilibrium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marginal-expansion equilibrium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Ambulance conveyance 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ED-conveyance 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 alternative-disposition equilibrium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Scope-of-practice supply 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professional-bottleneck equilibrium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scope-enabled supply equilibrium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Consumer access pathway 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delay/pay/ED substitution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early-access equilibrium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 and trust 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transactional-access without trust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benefits plus equity-function equilibrium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69.6</w:t>
            </w:r>
          </w:p>
        </w:tc>
      </w:tr>
    </w:tbl>
    <w:p>
      <w:pPr>
        <w:pStyle w:val="CaptionedFigure"/>
      </w:pPr>
      <w:r>
        <w:drawing>
          <wp:inline>
            <wp:extent cx="5334000" cy="3818021"/>
            <wp:effectExtent b="0" l="0" r="0" t="0"/>
            <wp:docPr descr="Diagnostic game priority" title="" id="26" name="Picture"/>
            <a:graphic>
              <a:graphicData uri="http://schemas.openxmlformats.org/drawingml/2006/picture">
                <pic:pic>
                  <pic:nvPicPr>
                    <pic:cNvPr descr="mcda-game-priority-v0.9.0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8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Diagnostic game priority</w:t>
      </w:r>
    </w:p>
    <w:p>
      <w:pPr>
        <w:pStyle w:val="BodyText"/>
      </w:pPr>
      <w:r>
        <w:t xml:space="preserve">The diagnostic map suggests that KPI salience, data observability, hospital salience, capitation marginal supply, ambulance conveyance and scope-of-practice supply are especially important games to test and discuss.</w:t>
      </w:r>
    </w:p>
    <w:bookmarkEnd w:id="28"/>
    <w:bookmarkStart w:id="29" w:name="policy-option-mcda"/>
    <w:p>
      <w:pPr>
        <w:pStyle w:val="Heading2"/>
      </w:pPr>
      <w:r>
        <w:t xml:space="preserve">Policy-option MCDA</w:t>
      </w:r>
    </w:p>
    <w:p>
      <w:pPr>
        <w:pStyle w:val="FirstParagraph"/>
      </w:pPr>
      <w:r>
        <w:t xml:space="preserve">The default MCDA criteria are: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3630"/>
        <w:gridCol w:w="1485"/>
        <w:gridCol w:w="148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criterion_id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default_weight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related_games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and supply generation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G3, G4, G8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Hospital deflection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G1, G2, G7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 and Te Tiriti legitimacy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G10, G12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Rural and in-person resilience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G7, G8, G9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Fiscal sustainability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G1, G2, G6, G10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Gaming and low-value activity risk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G3, G5, G10, G13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Administrative simplicity and market entry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G5, G8, G14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and clinical safety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G8, G11, G14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Political feasibility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G5, G12, G13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and accountability readiness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G11, G14</w:t>
            </w:r>
          </w:p>
        </w:tc>
      </w:tr>
    </w:tbl>
    <w:p>
      <w:pPr>
        <w:pStyle w:val="BodyText"/>
      </w:pPr>
      <w:r>
        <w:t xml:space="preserve">The default policy options are: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55"/>
        <w:gridCol w:w="4829"/>
        <w:gridCol w:w="183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option_id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mapped_scenario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quo tight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Capitation reweighting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Capitation reweighting plus access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S1+target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Care Benefits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Benefits schedule plus scope-enabled eligibility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S2+scope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upstream access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Loose demand-driven benefits with weak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ACC/ambulance alternatives strengthened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 reform/direct claims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Hospital investment priority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hospital</w:t>
            </w:r>
          </w:p>
        </w:tc>
      </w:tr>
    </w:tbl>
    <w:bookmarkEnd w:id="29"/>
    <w:bookmarkStart w:id="30" w:name="balanced-weight-result"/>
    <w:p>
      <w:pPr>
        <w:pStyle w:val="Heading2"/>
      </w:pPr>
      <w:r>
        <w:t xml:space="preserve">Balanced-weight result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43"/>
        <w:gridCol w:w="720"/>
        <w:gridCol w:w="2769"/>
        <w:gridCol w:w="1827"/>
        <w:gridCol w:w="886"/>
        <w:gridCol w:w="1273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weighted_total_before_penalty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risk_penalty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risk_adjusted_score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upstream access architecture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60.42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Care Benefits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49.27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Benefits schedule plus scope-enabled eligibility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48.28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Capitation reweighting plus access target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Capitation reweighting 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47.69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ACC/ambulance alternatives strengthened 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47.58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 reform/direct claims 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Hospital investment priority 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40.04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quo tight control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Loose demand-driven benefits with weak controls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24.58</w:t>
            </w:r>
          </w:p>
        </w:tc>
      </w:tr>
    </w:tbl>
    <w:p>
      <w:pPr>
        <w:pStyle w:val="BodyText"/>
      </w:pPr>
      <w:r>
        <w:t xml:space="preserve">The full upstream access architecture ranks first in the demonstrative MCDA. The Primary Care Benefits Schedule ranks second. Benefits plus scope-enabled eligibility ranks third but is more heavily penalised for implementation and governance risk. Capitation reweighting and capitation reweighting plus an access target perform moderately: they improve allocation and visibility, but do not fully solve marginal supply.</w:t>
      </w:r>
    </w:p>
    <w:p>
      <w:pPr>
        <w:pStyle w:val="BodyText"/>
      </w:pPr>
      <w:r>
        <w:t xml:space="preserve">Loose demand-driven benefits with weak controls rank last, despite scoring well on access. This is because the risk-adjustment layer penalises weak equity protections, weak data, weak governance, and high gaming/fiscal exposure.</w:t>
      </w:r>
    </w:p>
    <w:bookmarkEnd w:id="30"/>
    <w:bookmarkStart w:id="34" w:name="Xef13c4869146fb09d86c155ec320f2992d9d443"/>
    <w:p>
      <w:pPr>
        <w:pStyle w:val="Heading2"/>
      </w:pPr>
      <w:r>
        <w:t xml:space="preserve">Sensitivity across stakeholder weight sets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41"/>
        <w:gridCol w:w="737"/>
        <w:gridCol w:w="1242"/>
        <w:gridCol w:w="1009"/>
        <w:gridCol w:w="1125"/>
        <w:gridCol w:w="931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Balanced policy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Equity and Te Tiriti focused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Fiscal-control focused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Hospital-pressure focused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Market-entry focused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Rural access focused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ACC/ambulance alternatives strengthened 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Benefits schedule plus scope-enabled eligibility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Capitation reweighting 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Capitation reweighting plus access target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upstream access architecture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Hospital investment priority 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Loose demand-driven benefits with weak controls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 reform/direct claims 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 Care Benefits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 quo tight control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</w:tbl>
    <w:p>
      <w:pPr>
        <w:pStyle w:val="CaptionedFigure"/>
      </w:pPr>
      <w:r>
        <w:drawing>
          <wp:inline>
            <wp:extent cx="5334000" cy="3200400"/>
            <wp:effectExtent b="0" l="0" r="0" t="0"/>
            <wp:docPr descr="MCDA sensitivity across stakeholder weight sets" title="" id="32" name="Picture"/>
            <a:graphic>
              <a:graphicData uri="http://schemas.openxmlformats.org/drawingml/2006/picture">
                <pic:pic>
                  <pic:nvPicPr>
                    <pic:cNvPr descr="mcda-weight-sensitivity-v0.9.0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MCDA sensitivity across stakeholder weight sets</w:t>
      </w:r>
    </w:p>
    <w:p>
      <w:pPr>
        <w:pStyle w:val="BodyText"/>
      </w:pPr>
      <w:r>
        <w:t xml:space="preserve">The ranking is not intended to force consensus. It is intended to show where the result is robust and where it depends on stakeholder values.</w:t>
      </w:r>
    </w:p>
    <w:bookmarkEnd w:id="34"/>
    <w:bookmarkStart w:id="35" w:name="interpretation"/>
    <w:p>
      <w:pPr>
        <w:pStyle w:val="Heading2"/>
      </w:pPr>
      <w:r>
        <w:t xml:space="preserve">Interpretation</w:t>
      </w:r>
    </w:p>
    <w:p>
      <w:pPr>
        <w:pStyle w:val="FirstParagraph"/>
      </w:pPr>
      <w:r>
        <w:t xml:space="preserve">The MCDA supports a refined version of the policy thesis:</w:t>
      </w:r>
    </w:p>
    <w:p>
      <w:pPr>
        <w:pStyle w:val="BlockText"/>
      </w:pPr>
      <w:r>
        <w:t xml:space="preserve">A demand-driven Primary Care Benefits Schedule may improve marginal supply and hospital-deflection logic, but it becomes a viable policy architecture only when paired with scope governance, equity protections, co-payment calibration, ambulance alternatives, direct/optional claiming, data observability and top-tier KPIs.</w:t>
      </w:r>
    </w:p>
    <w:p>
      <w:pPr>
        <w:pStyle w:val="FirstParagraph"/>
      </w:pPr>
      <w:r>
        <w:t xml:space="preserve">This can be expressed as:</w:t>
      </w:r>
    </w:p>
    <w:p>
      <w:pPr>
        <w:pStyle w:val="BlockText"/>
      </w:pPr>
      <w:r>
        <w:t xml:space="preserve">Demand-driven within rules; not demand-driven without rules.</w:t>
      </w:r>
    </w:p>
    <w:bookmarkEnd w:id="35"/>
    <w:bookmarkStart w:id="36" w:name="how-to-use-this-package"/>
    <w:p>
      <w:pPr>
        <w:pStyle w:val="Heading2"/>
      </w:pPr>
      <w:r>
        <w:t xml:space="preserve">How to use this package</w:t>
      </w:r>
    </w:p>
    <w:p>
      <w:pPr>
        <w:pStyle w:val="FirstParagraph"/>
      </w:pPr>
      <w:r>
        <w:t xml:space="preserve">Use the MCDA in three ways: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Internal RACMA discussion</w:t>
      </w:r>
      <w:r>
        <w:t xml:space="preserve">: test whether colleagues accept the game map and priority scores.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Stakeholder workshop</w:t>
      </w:r>
      <w:r>
        <w:t xml:space="preserve">: compare group-specific scores and weight sets.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Empirical validation planning</w:t>
      </w:r>
      <w:r>
        <w:t xml:space="preserve">: turn low-confidence, high-impact criteria into research tasks.</w:t>
      </w:r>
    </w:p>
    <w:bookmarkEnd w:id="36"/>
    <w:bookmarkStart w:id="37" w:name="audit-status"/>
    <w:p>
      <w:pPr>
        <w:pStyle w:val="Heading2"/>
      </w:pPr>
      <w:r>
        <w:t xml:space="preserve">Audit status</w:t>
      </w:r>
    </w:p>
    <w:p>
      <w:pPr>
        <w:pStyle w:val="FirstParagraph"/>
      </w:pPr>
      <w:r>
        <w:t xml:space="preserve">This is a structured decision-support artefact. It is not proof of policy effectiveness. It should be updated after OIA responses, stakeholder validation, review findings, fiscal modelling and calibrated simulation.</w:t>
      </w:r>
    </w:p>
    <w:bookmarkEnd w:id="37"/>
    <w:bookmarkStart w:id="38" w:name="included-artefacts"/>
    <w:p>
      <w:pPr>
        <w:pStyle w:val="Heading2"/>
      </w:pPr>
      <w:r>
        <w:t xml:space="preserve">Included artefacts</w:t>
      </w:r>
    </w:p>
    <w:p>
      <w:pPr>
        <w:pStyle w:val="Compact"/>
        <w:numPr>
          <w:ilvl w:val="0"/>
          <w:numId w:val="1003"/>
        </w:numPr>
      </w:pPr>
      <w:r>
        <w:t xml:space="preserve">MCDA framework.</w:t>
      </w:r>
    </w:p>
    <w:p>
      <w:pPr>
        <w:pStyle w:val="Compact"/>
        <w:numPr>
          <w:ilvl w:val="0"/>
          <w:numId w:val="1003"/>
        </w:numPr>
      </w:pPr>
      <w:r>
        <w:t xml:space="preserve">Game-position scoring rubric.</w:t>
      </w:r>
    </w:p>
    <w:p>
      <w:pPr>
        <w:pStyle w:val="Compact"/>
        <w:numPr>
          <w:ilvl w:val="0"/>
          <w:numId w:val="1003"/>
        </w:numPr>
      </w:pPr>
      <w:r>
        <w:t xml:space="preserve">Policy-option scoring rubric.</w:t>
      </w:r>
    </w:p>
    <w:p>
      <w:pPr>
        <w:pStyle w:val="Compact"/>
        <w:numPr>
          <w:ilvl w:val="0"/>
          <w:numId w:val="1003"/>
        </w:numPr>
      </w:pPr>
      <w:r>
        <w:t xml:space="preserve">Stakeholder workshop guide.</w:t>
      </w:r>
    </w:p>
    <w:p>
      <w:pPr>
        <w:pStyle w:val="Compact"/>
        <w:numPr>
          <w:ilvl w:val="0"/>
          <w:numId w:val="1003"/>
        </w:numPr>
      </w:pPr>
      <w:r>
        <w:t xml:space="preserve">Weighting methods note.</w:t>
      </w:r>
    </w:p>
    <w:p>
      <w:pPr>
        <w:pStyle w:val="Compact"/>
        <w:numPr>
          <w:ilvl w:val="0"/>
          <w:numId w:val="1003"/>
        </w:numPr>
      </w:pPr>
      <w:r>
        <w:t xml:space="preserve">Results interpretation guide.</w:t>
      </w:r>
    </w:p>
    <w:p>
      <w:pPr>
        <w:pStyle w:val="Compact"/>
        <w:numPr>
          <w:ilvl w:val="0"/>
          <w:numId w:val="1003"/>
        </w:numPr>
      </w:pPr>
      <w:r>
        <w:t xml:space="preserve">Criteria, option, scorecard and weight-set CSVs.</w:t>
      </w:r>
    </w:p>
    <w:p>
      <w:pPr>
        <w:pStyle w:val="Compact"/>
        <w:numPr>
          <w:ilvl w:val="0"/>
          <w:numId w:val="1003"/>
        </w:numPr>
      </w:pPr>
      <w:r>
        <w:t xml:space="preserve">Blank scoring templates.</w:t>
      </w:r>
    </w:p>
    <w:p>
      <w:pPr>
        <w:pStyle w:val="Compact"/>
        <w:numPr>
          <w:ilvl w:val="0"/>
          <w:numId w:val="1003"/>
        </w:numPr>
      </w:pPr>
      <w:r>
        <w:t xml:space="preserve">Executable MCDA model.</w:t>
      </w:r>
    </w:p>
    <w:p>
      <w:pPr>
        <w:pStyle w:val="Compact"/>
        <w:numPr>
          <w:ilvl w:val="0"/>
          <w:numId w:val="1003"/>
        </w:numPr>
      </w:pPr>
      <w:r>
        <w:t xml:space="preserve">Example figures and workbook.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5" Target="media/rId25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2026-05-08T03:55:15Z</dcterms:created>
  <dcterms:modified xsi:type="dcterms:W3CDTF">2026-05-08T03:55:15Z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