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 National Primary Care Benefits Schedule for Aotearoa New Zealand</w:t>
      </w:r>
    </w:p>
    <w:p>
      <w:pPr>
        <w:jc w:val="center"/>
      </w:pPr>
      <w:r>
        <w:t>Working policy brief v0.3.0 | 7 May 2026</w:t>
      </w:r>
    </w:p>
    <w:p/>
    <w:p>
      <w:pPr>
        <w:pStyle w:val="Heading2"/>
      </w:pPr>
      <w:r>
        <w:t>One-line proposition</w:t>
      </w:r>
    </w:p>
    <w:p>
      <w:pPr>
        <w:spacing w:after="100"/>
      </w:pPr>
      <w:r>
        <w:t>New Zealand should test a demand-driven, rules-based Primary Care Benefits Schedule for defined primary, urgent and ambulance/prehospital contact types, while retaining capitation for continuity, baseline viability, enrolment and population accountability.</w:t>
      </w:r>
    </w:p>
    <w:p>
      <w:pPr>
        <w:pStyle w:val="Heading2"/>
      </w:pPr>
      <w:r>
        <w:t>Executive summary</w:t>
      </w:r>
    </w:p>
    <w:p>
      <w:pPr>
        <w:spacing w:after="100"/>
      </w:pPr>
      <w:r>
        <w:t>Current New Zealand reform is focused on capitation reweighting. That is necessary, because the historic formula has not adequately reflected contemporary need, rurality, deprivation and multimorbidity. But reweighting answers an allocation question, not the whole system question.</w:t>
      </w:r>
    </w:p>
    <w:p>
      <w:pPr>
        <w:spacing w:after="100"/>
      </w:pPr>
      <w:r>
        <w:t>The larger issue is whether the current architecture constrains lower-cost upstream activity and channels growth into higher-cost hospital care. If primary care, urgent care and ambulance/prehospital care are tightly controlled through fixed or quasi-fixed funding, PHO intermediation, professional bottlenecks and weak marginal payments, patient need does not disappear. It may reappear as emergency department demand, ambulance escalation, avoidable admission, delayed diagnosis and higher hospital cost.</w:t>
      </w:r>
    </w:p>
    <w:p>
      <w:pPr>
        <w:spacing w:after="100"/>
      </w:pPr>
      <w:r>
        <w:t>This brief proposes a National Primary Care Benefits Schedule. It would publicly subsidise defined contact types delivered by accredited providers acting within scope. The model would be demand-driven within rules: constrained by eligible contact definitions, clinical governance, provider scope, co-payment settings, data reporting, audit and safety monitoring, rather than by suppressing activity through a tightly managed envelope.</w:t>
      </w:r>
    </w:p>
    <w:p>
      <w:pPr>
        <w:spacing w:after="100"/>
      </w:pPr>
      <w:r>
        <w:t>This is not a proposal to abolish capitation. Capitation should remain for continuity, proactive care, enrolment, baseline viability and population accountability. The missing component is a scalable, transparent, activity-sensitive benefit stream for the marginal contacts that patients need and providers can safely deliver.</w:t>
      </w:r>
    </w:p>
    <w:p>
      <w:pPr>
        <w:pStyle w:val="Heading2"/>
      </w:pPr>
      <w:r>
        <w:t>Problem definition</w:t>
      </w:r>
    </w:p>
    <w:p>
      <w:pPr>
        <w:spacing w:after="100"/>
      </w:pPr>
      <w:r>
        <w:t>New Zealand's primary care model is often discussed as though the key question is how to weight capitation better. That matters, but it risks missing the wood for the trees.</w:t>
      </w:r>
    </w:p>
    <w:p>
      <w:pPr>
        <w:spacing w:after="100"/>
      </w:pPr>
      <w:r>
        <w:t>Capitation can distribute funding across enrolled populations. It can support continuity and equity. However, when it becomes the dominant access mechanism, it weakens the payment signal for additional clinically necessary care. Once a patient is enrolled, the next contact still has a marginal cost: clinician time, nursing time, room use, documentation, prescribing, follow-up, risk, administration and opportunity cost. If marginal public revenue is weak, supply is likely to be rationed through waiting time, closed books, co-payments, triage, shorter appointments or substitution toward lower-cost models.</w:t>
      </w:r>
    </w:p>
    <w:p>
      <w:pPr>
        <w:spacing w:after="100"/>
      </w:pPr>
      <w:r>
        <w:t>The system then observes hospital pressure rather than upstream unmet need. Hospitals are visible, acute, politically salient and directly managed. Primary care access failure is dispersed across patients, practices, co-payments, after-hours gaps, telehealth substitution and delayed care. Over time, this creates a repeated-game equilibrium in which hospitals receive rescue funding after unmet need becomes unavoidable, rather than upstream supply being expanded before escalation.</w:t>
      </w:r>
    </w:p>
    <w:p>
      <w:pPr>
        <w:pStyle w:val="Heading2"/>
      </w:pPr>
      <w:r>
        <w:t>Policy goal</w:t>
      </w:r>
    </w:p>
    <w:p>
      <w:pPr>
        <w:spacing w:after="100"/>
      </w:pPr>
      <w:r>
        <w:t>The policy goal is to make lower-cost, earlier care more available without creating uncontrolled low-value volume or inequitable user-pays rationing.</w:t>
      </w:r>
    </w:p>
    <w:p>
      <w:pPr>
        <w:spacing w:after="100"/>
      </w:pPr>
      <w:r>
        <w:t>A successful model should:</w:t>
      </w:r>
    </w:p>
    <w:p>
      <w:pPr>
        <w:pStyle w:val="ListBullet"/>
      </w:pPr>
      <w:r>
        <w:t>increase timely access to appropriate primary and urgent care;</w:t>
      </w:r>
    </w:p>
    <w:p>
      <w:pPr>
        <w:pStyle w:val="ListBullet"/>
      </w:pPr>
      <w:r>
        <w:t>allow supply growth from a wider range of providers acting within scope;</w:t>
      </w:r>
    </w:p>
    <w:p>
      <w:pPr>
        <w:pStyle w:val="ListBullet"/>
      </w:pPr>
      <w:r>
        <w:t>protect continuity and population accountability;</w:t>
      </w:r>
    </w:p>
    <w:p>
      <w:pPr>
        <w:pStyle w:val="ListBullet"/>
      </w:pPr>
      <w:r>
        <w:t>reduce avoidable ED, ambulance and hospital demand;</w:t>
      </w:r>
    </w:p>
    <w:p>
      <w:pPr>
        <w:pStyle w:val="ListBullet"/>
      </w:pPr>
      <w:r>
        <w:t>protect rural in-person capacity;</w:t>
      </w:r>
    </w:p>
    <w:p>
      <w:pPr>
        <w:pStyle w:val="ListBullet"/>
      </w:pPr>
      <w:r>
        <w:t>preserve equity through calibrated co-payment rules and higher benefits for high-needs groups;</w:t>
      </w:r>
    </w:p>
    <w:p>
      <w:pPr>
        <w:pStyle w:val="ListBullet"/>
      </w:pPr>
      <w:r>
        <w:t>create transparent data for accountability, audit and modelling.</w:t>
      </w:r>
    </w:p>
    <w:p>
      <w:pPr>
        <w:pStyle w:val="Heading2"/>
      </w:pPr>
      <w:r>
        <w:t>Proposed architecture</w:t>
      </w:r>
    </w:p>
    <w:p>
      <w:pPr>
        <w:pStyle w:val="Heading3"/>
      </w:pPr>
      <w:r>
        <w:t>1. Retain capitation, but narrow its job</w:t>
      </w:r>
    </w:p>
    <w:p>
      <w:pPr>
        <w:spacing w:after="100"/>
      </w:pPr>
      <w:r>
        <w:t>Capitation should remain for:</w:t>
      </w:r>
    </w:p>
    <w:p>
      <w:pPr>
        <w:pStyle w:val="ListBullet"/>
      </w:pPr>
      <w:r>
        <w:t>enrolled-population responsibility;</w:t>
      </w:r>
    </w:p>
    <w:p>
      <w:pPr>
        <w:pStyle w:val="ListBullet"/>
      </w:pPr>
      <w:r>
        <w:t>continuity and proactive care;</w:t>
      </w:r>
    </w:p>
    <w:p>
      <w:pPr>
        <w:pStyle w:val="ListBullet"/>
      </w:pPr>
      <w:r>
        <w:t>care coordination;</w:t>
      </w:r>
    </w:p>
    <w:p>
      <w:pPr>
        <w:pStyle w:val="ListBullet"/>
      </w:pPr>
      <w:r>
        <w:t>baseline viability;</w:t>
      </w:r>
    </w:p>
    <w:p>
      <w:pPr>
        <w:pStyle w:val="ListBullet"/>
      </w:pPr>
      <w:r>
        <w:t>equity-adjusted population funding;</w:t>
      </w:r>
    </w:p>
    <w:p>
      <w:pPr>
        <w:pStyle w:val="ListBullet"/>
      </w:pPr>
      <w:r>
        <w:t>non-contact work that does not fit a transaction model.</w:t>
      </w:r>
    </w:p>
    <w:p>
      <w:pPr>
        <w:spacing w:after="100"/>
      </w:pPr>
      <w:r>
        <w:t>Capitation should not be expected to solve every access and supply problem. A reweighted formula may redistribute funding more fairly but still leave marginal access constrained.</w:t>
      </w:r>
    </w:p>
    <w:p>
      <w:pPr>
        <w:pStyle w:val="Heading3"/>
      </w:pPr>
      <w:r>
        <w:t>2. Create a National Primary Care Benefits Schedule</w:t>
      </w:r>
    </w:p>
    <w:p>
      <w:pPr>
        <w:spacing w:after="100"/>
      </w:pPr>
      <w:r>
        <w:t>The schedule would define publicly subsidised contact types. Providers would claim a public benefit when they deliver an eligible service to an eligible patient, subject to scope, accreditation, clinical governance and reporting rules.</w:t>
      </w:r>
    </w:p>
    <w:p>
      <w:pPr>
        <w:spacing w:after="100"/>
      </w:pPr>
      <w:r>
        <w:t>The basic payment logic is:</w:t>
      </w:r>
    </w:p>
    <w:p>
      <w:pPr>
        <w:pStyle w:val="IntenseQuote"/>
      </w:pPr>
    </w:p>
    <w:p>
      <w:pPr>
        <w:ind w:left="360"/>
      </w:pPr>
      <w:r>
        <w:rPr>
          <w:rFonts w:ascii="Courier New" w:hAnsi="Courier New"/>
          <w:sz w:val="17"/>
        </w:rPr>
        <w:t>Provider revenue for eligible contact = public benefit + regulated/permitted patient co-payment</w:t>
      </w:r>
    </w:p>
    <w:p>
      <w:pPr>
        <w:spacing w:after="100"/>
      </w:pPr>
      <w:r>
        <w:t>Benefit levels would vary by contact type and modifiers such as rurality, complexity, urgency, deprivation, disability, age, Māori and Pacific health need, continuity and after-hours provision.</w:t>
      </w:r>
    </w:p>
    <w:p>
      <w:pPr>
        <w:pStyle w:val="Heading3"/>
      </w:pPr>
      <w:r>
        <w:t>3. Fund contact types, not guild boundaries</w:t>
      </w:r>
    </w:p>
    <w:p>
      <w:pPr>
        <w:spacing w:after="100"/>
      </w:pPr>
      <w:r>
        <w:t>Eligibility should depend on what the provider can safely and lawfully do, not whether the contact occurs inside a traditional GP-only model.</w:t>
      </w:r>
    </w:p>
    <w:p>
      <w:pPr>
        <w:spacing w:after="100"/>
      </w:pPr>
      <w:r>
        <w:t>Potential provider groups include:</w:t>
      </w:r>
    </w:p>
    <w:p>
      <w:pPr>
        <w:pStyle w:val="ListBullet"/>
      </w:pPr>
      <w:r>
        <w:t>GPs;</w:t>
      </w:r>
    </w:p>
    <w:p>
      <w:pPr>
        <w:pStyle w:val="ListBullet"/>
      </w:pPr>
      <w:r>
        <w:t>nurse practitioners;</w:t>
      </w:r>
    </w:p>
    <w:p>
      <w:pPr>
        <w:pStyle w:val="ListBullet"/>
      </w:pPr>
      <w:r>
        <w:t>nurses under defined pathways;</w:t>
      </w:r>
    </w:p>
    <w:p>
      <w:pPr>
        <w:pStyle w:val="ListBullet"/>
      </w:pPr>
      <w:r>
        <w:t>pharmacists and pharmacist prescribers;</w:t>
      </w:r>
    </w:p>
    <w:p>
      <w:pPr>
        <w:pStyle w:val="ListBullet"/>
      </w:pPr>
      <w:r>
        <w:t>physiotherapists;</w:t>
      </w:r>
    </w:p>
    <w:p>
      <w:pPr>
        <w:pStyle w:val="ListBullet"/>
      </w:pPr>
      <w:r>
        <w:t>mental health practitioners;</w:t>
      </w:r>
    </w:p>
    <w:p>
      <w:pPr>
        <w:pStyle w:val="ListBullet"/>
      </w:pPr>
      <w:r>
        <w:t>dietitians, podiatrists and other allied health providers;</w:t>
      </w:r>
    </w:p>
    <w:p>
      <w:pPr>
        <w:pStyle w:val="ListBullet"/>
      </w:pPr>
      <w:r>
        <w:t>kaupapa Māori and Pacific providers;</w:t>
      </w:r>
    </w:p>
    <w:p>
      <w:pPr>
        <w:pStyle w:val="ListBullet"/>
      </w:pPr>
      <w:r>
        <w:t>extended-care paramedics and ambulance clinicians;</w:t>
      </w:r>
    </w:p>
    <w:p>
      <w:pPr>
        <w:pStyle w:val="ListBullet"/>
      </w:pPr>
      <w:r>
        <w:t>integrated telehealth providers where clinically appropriate.</w:t>
      </w:r>
    </w:p>
    <w:p>
      <w:pPr>
        <w:spacing w:after="100"/>
      </w:pPr>
      <w:r>
        <w:t>General practitioners remain essential, especially for undifferentiated illness, diagnostic complexity, continuity, prescribing, clinical governance and risk management. The aim is not GP substitution for its own sake. The aim is to remove unnecessary funding-model bottlenecks where other providers can safely generate appropriate primary care activity.</w:t>
      </w:r>
    </w:p>
    <w:p>
      <w:pPr>
        <w:pStyle w:val="Heading3"/>
      </w:pPr>
      <w:r>
        <w:t>4. Include ambulance and prehospital care</w:t>
      </w:r>
    </w:p>
    <w:p>
      <w:pPr>
        <w:spacing w:after="100"/>
      </w:pPr>
      <w:r>
        <w:t>Ambulance should not be treated only as transport to hospital. The benefit schedule should include defined prehospital and ambulance contact types such as:</w:t>
      </w:r>
    </w:p>
    <w:p>
      <w:pPr>
        <w:pStyle w:val="ListBullet"/>
      </w:pPr>
      <w:r>
        <w:t>hear-and-treat;</w:t>
      </w:r>
    </w:p>
    <w:p>
      <w:pPr>
        <w:pStyle w:val="ListBullet"/>
      </w:pPr>
      <w:r>
        <w:t>treat-and-refer;</w:t>
      </w:r>
    </w:p>
    <w:p>
      <w:pPr>
        <w:pStyle w:val="ListBullet"/>
      </w:pPr>
      <w:r>
        <w:t>extended-care paramedic assessment;</w:t>
      </w:r>
    </w:p>
    <w:p>
      <w:pPr>
        <w:pStyle w:val="ListBullet"/>
      </w:pPr>
      <w:r>
        <w:t>safe non-conveyance with documented follow-up;</w:t>
      </w:r>
    </w:p>
    <w:p>
      <w:pPr>
        <w:pStyle w:val="ListBullet"/>
      </w:pPr>
      <w:r>
        <w:t>alternative destination pathways;</w:t>
      </w:r>
    </w:p>
    <w:p>
      <w:pPr>
        <w:pStyle w:val="ListBullet"/>
      </w:pPr>
      <w:r>
        <w:t>rural urgent response linked to primary care.</w:t>
      </w:r>
    </w:p>
    <w:p>
      <w:pPr>
        <w:spacing w:after="100"/>
      </w:pPr>
      <w:r>
        <w:t>These pathways require strong clinical governance, escalation rules and outcome monitoring. But if funded properly, they can become upstream hospital-avoidance infrastructure rather than simply a conveyance system.</w:t>
      </w:r>
    </w:p>
    <w:p>
      <w:pPr>
        <w:pStyle w:val="Heading3"/>
      </w:pPr>
      <w:r>
        <w:t>5. Separate PHO functions from payment intermediation</w:t>
      </w:r>
    </w:p>
    <w:p>
      <w:pPr>
        <w:spacing w:after="100"/>
      </w:pPr>
      <w:r>
        <w:t>PHO or locality functions may still be valuable. These include population health, equity work, quality improvement, data support, community relationships and locality planning.</w:t>
      </w:r>
    </w:p>
    <w:p>
      <w:pPr>
        <w:spacing w:after="100"/>
      </w:pPr>
      <w:r>
        <w:t>But these functions do not necessarily require PHOs to remain the mandatory gateway to public payment. A national rules-based claims platform could pay accredited providers directly while separately commissioning population-health functions where they add value.</w:t>
      </w:r>
    </w:p>
    <w:p>
      <w:pPr>
        <w:spacing w:after="100"/>
      </w:pPr>
      <w:r>
        <w:t>The policy question is not “abolish PHOs?” The policy question is:</w:t>
      </w:r>
    </w:p>
    <w:p>
      <w:pPr>
        <w:pStyle w:val="IntenseQuote"/>
      </w:pPr>
      <w:r>
        <w:t>Which PHO functions add value, and which payment-gateway functions create avoidable transaction cost, opacity or market-entry barriers?</w:t>
      </w:r>
    </w:p>
    <w:p>
      <w:pPr>
        <w:pStyle w:val="Heading3"/>
      </w:pPr>
      <w:r>
        <w:t>6. Use co-payments carefully</w:t>
      </w:r>
    </w:p>
    <w:p>
      <w:pPr>
        <w:spacing w:after="100"/>
      </w:pPr>
      <w:r>
        <w:t>A demand-driven benefit stream needs demand calibration. Co-payments can help signal use, but can also ration necessary care by income. The schedule should therefore include explicit co-payment rules:</w:t>
      </w:r>
    </w:p>
    <w:p>
      <w:pPr>
        <w:pStyle w:val="ListBullet"/>
      </w:pPr>
      <w:r>
        <w:t>zero or low co-payments for priority groups and essential contacts;</w:t>
      </w:r>
    </w:p>
    <w:p>
      <w:pPr>
        <w:pStyle w:val="ListBullet"/>
      </w:pPr>
      <w:r>
        <w:t>capped co-payments for defined services;</w:t>
      </w:r>
    </w:p>
    <w:p>
      <w:pPr>
        <w:pStyle w:val="ListBullet"/>
      </w:pPr>
      <w:r>
        <w:t>higher public benefits for deprivation, rurality, disability, Māori and Pacific peoples, and multimorbidity;</w:t>
      </w:r>
    </w:p>
    <w:p>
      <w:pPr>
        <w:pStyle w:val="ListBullet"/>
      </w:pPr>
      <w:r>
        <w:t>no balance billing for some preventive, urgent or high-priority contacts;</w:t>
      </w:r>
    </w:p>
    <w:p>
      <w:pPr>
        <w:pStyle w:val="ListBullet"/>
      </w:pPr>
      <w:r>
        <w:t>transparent public reporting of patient charges;</w:t>
      </w:r>
    </w:p>
    <w:p>
      <w:pPr>
        <w:pStyle w:val="ListBullet"/>
      </w:pPr>
      <w:r>
        <w:t>monitoring of unmet need due to cost.</w:t>
      </w:r>
    </w:p>
    <w:p>
      <w:pPr>
        <w:spacing w:after="100"/>
      </w:pPr>
      <w:r>
        <w:t>The aim is not user-pays primary care. It is to let consumers access subsidised lower-cost care while preventing co-payment burden from becoming the equity failure mechanism.</w:t>
      </w:r>
    </w:p>
    <w:p>
      <w:pPr>
        <w:pStyle w:val="Heading2"/>
      </w:pPr>
      <w:r>
        <w:t>Candidate contact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spacing w:after="0"/>
            </w:pPr>
            <w:r/>
            <w:r>
              <w:rPr>
                <w:b/>
                <w:sz w:val="17"/>
              </w:rPr>
              <w:t>Contact type</w:t>
            </w:r>
          </w:p>
        </w:tc>
        <w:tc>
          <w:tcPr>
            <w:tcW w:type="dxa" w:w="3360"/>
            <w:vAlign w:val="top"/>
            <w:shd w:fill="D9EAF7"/>
          </w:tcPr>
          <w:p>
            <w:pPr>
              <w:spacing w:after="0"/>
            </w:pPr>
            <w:r/>
            <w:r>
              <w:rPr>
                <w:b/>
                <w:sz w:val="17"/>
              </w:rPr>
              <w:t>Possible providers</w:t>
            </w:r>
          </w:p>
        </w:tc>
        <w:tc>
          <w:tcPr>
            <w:tcW w:type="dxa" w:w="3360"/>
            <w:vAlign w:val="top"/>
            <w:shd w:fill="D9EAF7"/>
          </w:tcPr>
          <w:p>
            <w:pPr>
              <w:spacing w:after="0"/>
            </w:pPr>
            <w:r/>
            <w:r>
              <w:rPr>
                <w:b/>
                <w:sz w:val="17"/>
              </w:rPr>
              <w:t>Rationale</w:t>
            </w:r>
          </w:p>
        </w:tc>
      </w:tr>
      <w:tr>
        <w:tc>
          <w:tcPr>
            <w:tcW w:type="dxa" w:w="3360"/>
            <w:vAlign w:val="top"/>
          </w:tcPr>
          <w:p>
            <w:pPr>
              <w:spacing w:after="0"/>
            </w:pPr>
            <w:r/>
            <w:r>
              <w:rPr>
                <w:b w:val="0"/>
                <w:sz w:val="17"/>
              </w:rPr>
              <w:t>Same-day urgent primary care</w:t>
            </w:r>
          </w:p>
        </w:tc>
        <w:tc>
          <w:tcPr>
            <w:tcW w:type="dxa" w:w="3360"/>
            <w:vAlign w:val="top"/>
          </w:tcPr>
          <w:p>
            <w:pPr>
              <w:spacing w:after="0"/>
            </w:pPr>
            <w:r/>
            <w:r>
              <w:rPr>
                <w:b w:val="0"/>
                <w:sz w:val="17"/>
              </w:rPr>
              <w:t>GP, NP, urgent care clinician, pharmacist for defined minor illness</w:t>
            </w:r>
          </w:p>
        </w:tc>
        <w:tc>
          <w:tcPr>
            <w:tcW w:type="dxa" w:w="3360"/>
            <w:vAlign w:val="top"/>
          </w:tcPr>
          <w:p>
            <w:pPr>
              <w:spacing w:after="0"/>
            </w:pPr>
            <w:r/>
            <w:r>
              <w:rPr>
                <w:b w:val="0"/>
                <w:sz w:val="17"/>
              </w:rPr>
              <w:t>Diverts avoidable ED demand</w:t>
            </w:r>
          </w:p>
        </w:tc>
      </w:tr>
      <w:tr>
        <w:tc>
          <w:tcPr>
            <w:tcW w:type="dxa" w:w="3360"/>
            <w:vAlign w:val="top"/>
          </w:tcPr>
          <w:p>
            <w:pPr>
              <w:spacing w:after="0"/>
            </w:pPr>
            <w:r/>
            <w:r>
              <w:rPr>
                <w:b w:val="0"/>
                <w:sz w:val="17"/>
              </w:rPr>
              <w:t>Rural in-person assessment</w:t>
            </w:r>
          </w:p>
        </w:tc>
        <w:tc>
          <w:tcPr>
            <w:tcW w:type="dxa" w:w="3360"/>
            <w:vAlign w:val="top"/>
          </w:tcPr>
          <w:p>
            <w:pPr>
              <w:spacing w:after="0"/>
            </w:pPr>
            <w:r/>
            <w:r>
              <w:rPr>
                <w:b w:val="0"/>
                <w:sz w:val="17"/>
              </w:rPr>
              <w:t>GP, NP, nurse, paramedic, rural clinician</w:t>
            </w:r>
          </w:p>
        </w:tc>
        <w:tc>
          <w:tcPr>
            <w:tcW w:type="dxa" w:w="3360"/>
            <w:vAlign w:val="top"/>
          </w:tcPr>
          <w:p>
            <w:pPr>
              <w:spacing w:after="0"/>
            </w:pPr>
            <w:r/>
            <w:r>
              <w:rPr>
                <w:b w:val="0"/>
                <w:sz w:val="17"/>
              </w:rPr>
              <w:t>Protects local physical examination and procedures</w:t>
            </w:r>
          </w:p>
        </w:tc>
      </w:tr>
      <w:tr>
        <w:tc>
          <w:tcPr>
            <w:tcW w:type="dxa" w:w="3360"/>
            <w:vAlign w:val="top"/>
          </w:tcPr>
          <w:p>
            <w:pPr>
              <w:spacing w:after="0"/>
            </w:pPr>
            <w:r/>
            <w:r>
              <w:rPr>
                <w:b w:val="0"/>
                <w:sz w:val="17"/>
              </w:rPr>
              <w:t>Complex multimorbidity review</w:t>
            </w:r>
          </w:p>
        </w:tc>
        <w:tc>
          <w:tcPr>
            <w:tcW w:type="dxa" w:w="3360"/>
            <w:vAlign w:val="top"/>
          </w:tcPr>
          <w:p>
            <w:pPr>
              <w:spacing w:after="0"/>
            </w:pPr>
            <w:r/>
            <w:r>
              <w:rPr>
                <w:b w:val="0"/>
                <w:sz w:val="17"/>
              </w:rPr>
              <w:t>GP, NP, nurse, pharmacist, allied health team</w:t>
            </w:r>
          </w:p>
        </w:tc>
        <w:tc>
          <w:tcPr>
            <w:tcW w:type="dxa" w:w="3360"/>
            <w:vAlign w:val="top"/>
          </w:tcPr>
          <w:p>
            <w:pPr>
              <w:spacing w:after="0"/>
            </w:pPr>
            <w:r/>
            <w:r>
              <w:rPr>
                <w:b w:val="0"/>
                <w:sz w:val="17"/>
              </w:rPr>
              <w:t>Supports planned care and reduces deterioration</w:t>
            </w:r>
          </w:p>
        </w:tc>
      </w:tr>
      <w:tr>
        <w:tc>
          <w:tcPr>
            <w:tcW w:type="dxa" w:w="3360"/>
            <w:vAlign w:val="top"/>
          </w:tcPr>
          <w:p>
            <w:pPr>
              <w:spacing w:after="0"/>
            </w:pPr>
            <w:r/>
            <w:r>
              <w:rPr>
                <w:b w:val="0"/>
                <w:sz w:val="17"/>
              </w:rPr>
              <w:t>Medicines optimisation</w:t>
            </w:r>
          </w:p>
        </w:tc>
        <w:tc>
          <w:tcPr>
            <w:tcW w:type="dxa" w:w="3360"/>
            <w:vAlign w:val="top"/>
          </w:tcPr>
          <w:p>
            <w:pPr>
              <w:spacing w:after="0"/>
            </w:pPr>
            <w:r/>
            <w:r>
              <w:rPr>
                <w:b w:val="0"/>
                <w:sz w:val="17"/>
              </w:rPr>
              <w:t>pharmacist, GP, NP</w:t>
            </w:r>
          </w:p>
        </w:tc>
        <w:tc>
          <w:tcPr>
            <w:tcW w:type="dxa" w:w="3360"/>
            <w:vAlign w:val="top"/>
          </w:tcPr>
          <w:p>
            <w:pPr>
              <w:spacing w:after="0"/>
            </w:pPr>
            <w:r/>
            <w:r>
              <w:rPr>
                <w:b w:val="0"/>
                <w:sz w:val="17"/>
              </w:rPr>
              <w:t>Improves safety and chronic disease control</w:t>
            </w:r>
          </w:p>
        </w:tc>
      </w:tr>
      <w:tr>
        <w:tc>
          <w:tcPr>
            <w:tcW w:type="dxa" w:w="3360"/>
            <w:vAlign w:val="top"/>
          </w:tcPr>
          <w:p>
            <w:pPr>
              <w:spacing w:after="0"/>
            </w:pPr>
            <w:r/>
            <w:r>
              <w:rPr>
                <w:b w:val="0"/>
                <w:sz w:val="17"/>
              </w:rPr>
              <w:t>First-contact musculoskeletal assessment</w:t>
            </w:r>
          </w:p>
        </w:tc>
        <w:tc>
          <w:tcPr>
            <w:tcW w:type="dxa" w:w="3360"/>
            <w:vAlign w:val="top"/>
          </w:tcPr>
          <w:p>
            <w:pPr>
              <w:spacing w:after="0"/>
            </w:pPr>
            <w:r/>
            <w:r>
              <w:rPr>
                <w:b w:val="0"/>
                <w:sz w:val="17"/>
              </w:rPr>
              <w:t>physiotherapist, GP, NP</w:t>
            </w:r>
          </w:p>
        </w:tc>
        <w:tc>
          <w:tcPr>
            <w:tcW w:type="dxa" w:w="3360"/>
            <w:vAlign w:val="top"/>
          </w:tcPr>
          <w:p>
            <w:pPr>
              <w:spacing w:after="0"/>
            </w:pPr>
            <w:r/>
            <w:r>
              <w:rPr>
                <w:b w:val="0"/>
                <w:sz w:val="17"/>
              </w:rPr>
              <w:t>Uses appropriate workforce and may avoid referrals</w:t>
            </w:r>
          </w:p>
        </w:tc>
      </w:tr>
      <w:tr>
        <w:tc>
          <w:tcPr>
            <w:tcW w:type="dxa" w:w="3360"/>
            <w:vAlign w:val="top"/>
          </w:tcPr>
          <w:p>
            <w:pPr>
              <w:spacing w:after="0"/>
            </w:pPr>
            <w:r/>
            <w:r>
              <w:rPr>
                <w:b w:val="0"/>
                <w:sz w:val="17"/>
              </w:rPr>
              <w:t>Wound care and minor procedures</w:t>
            </w:r>
          </w:p>
        </w:tc>
        <w:tc>
          <w:tcPr>
            <w:tcW w:type="dxa" w:w="3360"/>
            <w:vAlign w:val="top"/>
          </w:tcPr>
          <w:p>
            <w:pPr>
              <w:spacing w:after="0"/>
            </w:pPr>
            <w:r/>
            <w:r>
              <w:rPr>
                <w:b w:val="0"/>
                <w:sz w:val="17"/>
              </w:rPr>
              <w:t>nurse, NP, GP, pharmacist in defined settings</w:t>
            </w:r>
          </w:p>
        </w:tc>
        <w:tc>
          <w:tcPr>
            <w:tcW w:type="dxa" w:w="3360"/>
            <w:vAlign w:val="top"/>
          </w:tcPr>
          <w:p>
            <w:pPr>
              <w:spacing w:after="0"/>
            </w:pPr>
            <w:r/>
            <w:r>
              <w:rPr>
                <w:b w:val="0"/>
                <w:sz w:val="17"/>
              </w:rPr>
              <w:t>Prevents escalation and supports local access</w:t>
            </w:r>
          </w:p>
        </w:tc>
      </w:tr>
      <w:tr>
        <w:tc>
          <w:tcPr>
            <w:tcW w:type="dxa" w:w="3360"/>
            <w:vAlign w:val="top"/>
          </w:tcPr>
          <w:p>
            <w:pPr>
              <w:spacing w:after="0"/>
            </w:pPr>
            <w:r/>
            <w:r>
              <w:rPr>
                <w:b w:val="0"/>
                <w:sz w:val="17"/>
              </w:rPr>
              <w:t>Primary mental health contact</w:t>
            </w:r>
          </w:p>
        </w:tc>
        <w:tc>
          <w:tcPr>
            <w:tcW w:type="dxa" w:w="3360"/>
            <w:vAlign w:val="top"/>
          </w:tcPr>
          <w:p>
            <w:pPr>
              <w:spacing w:after="0"/>
            </w:pPr>
            <w:r/>
            <w:r>
              <w:rPr>
                <w:b w:val="0"/>
                <w:sz w:val="17"/>
              </w:rPr>
              <w:t>HIP, counsellor, psychologist, GP, NP</w:t>
            </w:r>
          </w:p>
        </w:tc>
        <w:tc>
          <w:tcPr>
            <w:tcW w:type="dxa" w:w="3360"/>
            <w:vAlign w:val="top"/>
          </w:tcPr>
          <w:p>
            <w:pPr>
              <w:spacing w:after="0"/>
            </w:pPr>
            <w:r/>
            <w:r>
              <w:rPr>
                <w:b w:val="0"/>
                <w:sz w:val="17"/>
              </w:rPr>
              <w:t>Improves timely non-hospital support</w:t>
            </w:r>
          </w:p>
        </w:tc>
      </w:tr>
      <w:tr>
        <w:tc>
          <w:tcPr>
            <w:tcW w:type="dxa" w:w="3360"/>
            <w:vAlign w:val="top"/>
          </w:tcPr>
          <w:p>
            <w:pPr>
              <w:spacing w:after="0"/>
            </w:pPr>
            <w:r/>
            <w:r>
              <w:rPr>
                <w:b w:val="0"/>
                <w:sz w:val="17"/>
              </w:rPr>
              <w:t>Treat-and-refer ambulance pathway</w:t>
            </w:r>
          </w:p>
        </w:tc>
        <w:tc>
          <w:tcPr>
            <w:tcW w:type="dxa" w:w="3360"/>
            <w:vAlign w:val="top"/>
          </w:tcPr>
          <w:p>
            <w:pPr>
              <w:spacing w:after="0"/>
            </w:pPr>
            <w:r/>
            <w:r>
              <w:rPr>
                <w:b w:val="0"/>
                <w:sz w:val="17"/>
              </w:rPr>
              <w:t>paramedic / extended-care paramedic</w:t>
            </w:r>
          </w:p>
        </w:tc>
        <w:tc>
          <w:tcPr>
            <w:tcW w:type="dxa" w:w="3360"/>
            <w:vAlign w:val="top"/>
          </w:tcPr>
          <w:p>
            <w:pPr>
              <w:spacing w:after="0"/>
            </w:pPr>
            <w:r/>
            <w:r>
              <w:rPr>
                <w:b w:val="0"/>
                <w:sz w:val="17"/>
              </w:rPr>
              <w:t>Avoids unnecessary ED conveyance where safe</w:t>
            </w:r>
          </w:p>
        </w:tc>
      </w:tr>
      <w:tr>
        <w:tc>
          <w:tcPr>
            <w:tcW w:type="dxa" w:w="3360"/>
            <w:vAlign w:val="top"/>
          </w:tcPr>
          <w:p>
            <w:pPr>
              <w:spacing w:after="0"/>
            </w:pPr>
            <w:r/>
            <w:r>
              <w:rPr>
                <w:b w:val="0"/>
                <w:sz w:val="17"/>
              </w:rPr>
              <w:t>Safe non-conveyance with follow-up</w:t>
            </w:r>
          </w:p>
        </w:tc>
        <w:tc>
          <w:tcPr>
            <w:tcW w:type="dxa" w:w="3360"/>
            <w:vAlign w:val="top"/>
          </w:tcPr>
          <w:p>
            <w:pPr>
              <w:spacing w:after="0"/>
            </w:pPr>
            <w:r/>
            <w:r>
              <w:rPr>
                <w:b w:val="0"/>
                <w:sz w:val="17"/>
              </w:rPr>
              <w:t>ambulance + primary care team</w:t>
            </w:r>
          </w:p>
        </w:tc>
        <w:tc>
          <w:tcPr>
            <w:tcW w:type="dxa" w:w="3360"/>
            <w:vAlign w:val="top"/>
          </w:tcPr>
          <w:p>
            <w:pPr>
              <w:spacing w:after="0"/>
            </w:pPr>
            <w:r/>
            <w:r>
              <w:rPr>
                <w:b w:val="0"/>
                <w:sz w:val="17"/>
              </w:rPr>
              <w:t>Requires governance but can reduce ED load</w:t>
            </w:r>
          </w:p>
        </w:tc>
      </w:tr>
      <w:tr>
        <w:tc>
          <w:tcPr>
            <w:tcW w:type="dxa" w:w="3360"/>
            <w:vAlign w:val="top"/>
          </w:tcPr>
          <w:p>
            <w:pPr>
              <w:spacing w:after="0"/>
            </w:pPr>
            <w:r/>
            <w:r>
              <w:rPr>
                <w:b w:val="0"/>
                <w:sz w:val="17"/>
              </w:rPr>
              <w:t>Preventive and screening contacts</w:t>
            </w:r>
          </w:p>
        </w:tc>
        <w:tc>
          <w:tcPr>
            <w:tcW w:type="dxa" w:w="3360"/>
            <w:vAlign w:val="top"/>
          </w:tcPr>
          <w:p>
            <w:pPr>
              <w:spacing w:after="0"/>
            </w:pPr>
            <w:r/>
            <w:r>
              <w:rPr>
                <w:b w:val="0"/>
                <w:sz w:val="17"/>
              </w:rPr>
              <w:t>nurse, pharmacist, community provider, GP</w:t>
            </w:r>
          </w:p>
        </w:tc>
        <w:tc>
          <w:tcPr>
            <w:tcW w:type="dxa" w:w="3360"/>
            <w:vAlign w:val="top"/>
          </w:tcPr>
          <w:p>
            <w:pPr>
              <w:spacing w:after="0"/>
            </w:pPr>
            <w:r/>
            <w:r>
              <w:rPr>
                <w:b w:val="0"/>
                <w:sz w:val="17"/>
              </w:rPr>
              <w:t>Supports population health and equity</w:t>
            </w:r>
          </w:p>
        </w:tc>
      </w:tr>
    </w:tbl>
    <w:p/>
    <w:p>
      <w:pPr>
        <w:pStyle w:val="Heading2"/>
      </w:pPr>
      <w:r>
        <w:t>Accountability and KPIs</w:t>
      </w:r>
    </w:p>
    <w:p>
      <w:pPr>
        <w:spacing w:after="100"/>
      </w:pPr>
      <w:r>
        <w:t>Primary care and ambulance should be lifted to hospital-equivalent accountability. They should not be treated merely as background inputs to hospital performance.</w:t>
      </w:r>
    </w:p>
    <w:p>
      <w:pPr>
        <w:spacing w:after="100"/>
      </w:pPr>
      <w:r>
        <w:t>Top-tier indicators should include:</w:t>
      </w:r>
    </w:p>
    <w:p>
      <w:pPr>
        <w:pStyle w:val="ListBullet"/>
      </w:pPr>
      <w:r>
        <w:t>primary care access within seven days;</w:t>
      </w:r>
    </w:p>
    <w:p>
      <w:pPr>
        <w:pStyle w:val="ListBullet"/>
      </w:pPr>
      <w:r>
        <w:t>same-day urgent primary care access;</w:t>
      </w:r>
    </w:p>
    <w:p>
      <w:pPr>
        <w:pStyle w:val="ListBullet"/>
      </w:pPr>
      <w:r>
        <w:t>practice open-book/enrolment availability;</w:t>
      </w:r>
    </w:p>
    <w:p>
      <w:pPr>
        <w:pStyle w:val="ListBullet"/>
      </w:pPr>
      <w:r>
        <w:t>patient co-payment burden;</w:t>
      </w:r>
    </w:p>
    <w:p>
      <w:pPr>
        <w:pStyle w:val="ListBullet"/>
      </w:pPr>
      <w:r>
        <w:t>continuity with usual provider or team;</w:t>
      </w:r>
    </w:p>
    <w:p>
      <w:pPr>
        <w:pStyle w:val="ListBullet"/>
      </w:pPr>
      <w:r>
        <w:t>rural in-person capacity;</w:t>
      </w:r>
    </w:p>
    <w:p>
      <w:pPr>
        <w:pStyle w:val="ListBullet"/>
      </w:pPr>
      <w:r>
        <w:t>ambulatory-sensitive hospitalisations;</w:t>
      </w:r>
    </w:p>
    <w:p>
      <w:pPr>
        <w:pStyle w:val="ListBullet"/>
      </w:pPr>
      <w:r>
        <w:t>lower-urgency ED presentations, interpreted cautiously;</w:t>
      </w:r>
    </w:p>
    <w:p>
      <w:pPr>
        <w:pStyle w:val="ListBullet"/>
      </w:pPr>
      <w:r>
        <w:t>ambulance response times for time-critical events;</w:t>
      </w:r>
    </w:p>
    <w:p>
      <w:pPr>
        <w:pStyle w:val="ListBullet"/>
      </w:pPr>
      <w:r>
        <w:t>hear-and-treat and treat-and-refer rates;</w:t>
      </w:r>
    </w:p>
    <w:p>
      <w:pPr>
        <w:pStyle w:val="ListBullet"/>
      </w:pPr>
      <w:r>
        <w:t>safe non-conveyance outcomes;</w:t>
      </w:r>
    </w:p>
    <w:p>
      <w:pPr>
        <w:pStyle w:val="ListBullet"/>
      </w:pPr>
      <w:r>
        <w:t>ambulance handover delay/offload time;</w:t>
      </w:r>
    </w:p>
    <w:p>
      <w:pPr>
        <w:pStyle w:val="ListBullet"/>
      </w:pPr>
      <w:r>
        <w:t>patient-reported experience and unmet need due to cost.</w:t>
      </w:r>
    </w:p>
    <w:p>
      <w:pPr>
        <w:spacing w:after="100"/>
      </w:pPr>
      <w:r>
        <w:t>All indicators should be stratified by ethnicity, deprivation, rurality, disability, age and multimorbidity.</w:t>
      </w:r>
    </w:p>
    <w:p>
      <w:pPr>
        <w:pStyle w:val="Heading2"/>
      </w:pPr>
      <w:r>
        <w:t>Implementation options</w:t>
      </w:r>
    </w:p>
    <w:p>
      <w:pPr>
        <w:pStyle w:val="Heading3"/>
      </w:pPr>
      <w:r>
        <w:t>Option A: Limited pilot</w:t>
      </w:r>
    </w:p>
    <w:p>
      <w:pPr>
        <w:spacing w:after="100"/>
      </w:pPr>
      <w:r>
        <w:t>Pilot the schedule for a small number of contact types:</w:t>
      </w:r>
    </w:p>
    <w:p>
      <w:pPr>
        <w:pStyle w:val="ListBullet"/>
      </w:pPr>
      <w:r>
        <w:t>urgent same-day primary care;</w:t>
      </w:r>
    </w:p>
    <w:p>
      <w:pPr>
        <w:pStyle w:val="ListBullet"/>
      </w:pPr>
      <w:r>
        <w:t>pharmacist medicines optimisation;</w:t>
      </w:r>
    </w:p>
    <w:p>
      <w:pPr>
        <w:pStyle w:val="ListBullet"/>
      </w:pPr>
      <w:r>
        <w:t>first-contact physiotherapy;</w:t>
      </w:r>
    </w:p>
    <w:p>
      <w:pPr>
        <w:pStyle w:val="ListBullet"/>
      </w:pPr>
      <w:r>
        <w:t>rural in-person urgent care;</w:t>
      </w:r>
    </w:p>
    <w:p>
      <w:pPr>
        <w:pStyle w:val="ListBullet"/>
      </w:pPr>
      <w:r>
        <w:t>ambulance treat-and-refer.</w:t>
      </w:r>
    </w:p>
    <w:p>
      <w:pPr>
        <w:spacing w:after="100"/>
      </w:pPr>
      <w:r>
        <w:t>Pros: feasible, lower fiscal risk.</w:t>
      </w:r>
    </w:p>
    <w:p>
      <w:pPr>
        <w:spacing w:after="100"/>
      </w:pPr>
      <w:r>
        <w:t>Cons: may be too small to shift whole-system equilibrium.</w:t>
      </w:r>
    </w:p>
    <w:p>
      <w:pPr>
        <w:pStyle w:val="Heading3"/>
      </w:pPr>
      <w:r>
        <w:t>Option B: Regional demonstration</w:t>
      </w:r>
    </w:p>
    <w:p>
      <w:pPr>
        <w:spacing w:after="100"/>
      </w:pPr>
      <w:r>
        <w:t>Implement the schedule in selected rural and urban localities with high unmet need and hospital pressure.</w:t>
      </w:r>
    </w:p>
    <w:p>
      <w:pPr>
        <w:spacing w:after="100"/>
      </w:pPr>
      <w:r>
        <w:t>Pros: allows evaluation of market entry and hospital outcomes.</w:t>
      </w:r>
    </w:p>
    <w:p>
      <w:pPr>
        <w:spacing w:after="100"/>
      </w:pPr>
      <w:r>
        <w:t>Cons: requires careful local governance and data linkage.</w:t>
      </w:r>
    </w:p>
    <w:p>
      <w:pPr>
        <w:pStyle w:val="Heading3"/>
      </w:pPr>
      <w:r>
        <w:t>Option C: National staged rollout</w:t>
      </w:r>
    </w:p>
    <w:p>
      <w:pPr>
        <w:spacing w:after="100"/>
      </w:pPr>
      <w:r>
        <w:t>Introduce a national schedule with staged contact-type expansion and mandatory reporting.</w:t>
      </w:r>
    </w:p>
    <w:p>
      <w:pPr>
        <w:spacing w:after="100"/>
      </w:pPr>
      <w:r>
        <w:t>Pros: creates clear national architecture.</w:t>
      </w:r>
    </w:p>
    <w:p>
      <w:pPr>
        <w:spacing w:after="100"/>
      </w:pPr>
      <w:r>
        <w:t>Cons: higher implementation and fiscal-management burden.</w:t>
      </w:r>
    </w:p>
    <w:p>
      <w:pPr>
        <w:pStyle w:val="Heading2"/>
      </w:pPr>
      <w:r>
        <w:t>Evaluation design</w:t>
      </w:r>
    </w:p>
    <w:p>
      <w:pPr>
        <w:spacing w:after="100"/>
      </w:pPr>
      <w:r>
        <w:t>The proposal should be tested using mixed methods:</w:t>
      </w:r>
    </w:p>
    <w:p>
      <w:pPr>
        <w:spacing w:after="100"/>
      </w:pPr>
      <w:r>
        <w:t>1. System dynamics modelling to test feedback loops between access, unmet need, hospital pressure and budget response.</w:t>
      </w:r>
    </w:p>
    <w:p>
      <w:pPr>
        <w:spacing w:after="100"/>
      </w:pPr>
      <w:r>
        <w:t>2. Agent-based modelling to model heterogeneous patients, providers, co-payments, rurality and market entry.</w:t>
      </w:r>
    </w:p>
    <w:p>
      <w:pPr>
        <w:spacing w:after="100"/>
      </w:pPr>
      <w:r>
        <w:t>3. Interrupted time-series or difference-in-differences evaluation if staged rollout allows comparison.</w:t>
      </w:r>
    </w:p>
    <w:p>
      <w:pPr>
        <w:spacing w:after="100"/>
      </w:pPr>
      <w:r>
        <w:t>4. Qualitative interviews with practices, PHOs, ambulance providers, Health NZ, ACC, Māori and Pacific providers, and patients.</w:t>
      </w:r>
    </w:p>
    <w:p>
      <w:pPr>
        <w:spacing w:after="100"/>
      </w:pPr>
      <w:r>
        <w:t>5. Economic evaluation of public cost, patient cost, provider viability and hospital avoidance.</w:t>
      </w:r>
    </w:p>
    <w:p>
      <w:pPr>
        <w:pStyle w:val="Heading2"/>
      </w:pPr>
      <w:r>
        <w:t>Risks and mitigations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
              <w:rPr>
                <w:b/>
                <w:sz w:val="17"/>
              </w:rPr>
              <w:t>Risk</w:t>
            </w:r>
          </w:p>
        </w:tc>
        <w:tc>
          <w:tcPr>
            <w:tcW w:type="dxa" w:w="5040"/>
            <w:vAlign w:val="top"/>
            <w:shd w:fill="D9EAF7"/>
          </w:tcPr>
          <w:p>
            <w:pPr>
              <w:spacing w:after="0"/>
            </w:pPr>
            <w:r/>
            <w:r>
              <w:rPr>
                <w:b/>
                <w:sz w:val="17"/>
              </w:rPr>
              <w:t>Mitigation</w:t>
            </w:r>
          </w:p>
        </w:tc>
      </w:tr>
      <w:tr>
        <w:tc>
          <w:tcPr>
            <w:tcW w:type="dxa" w:w="5040"/>
            <w:vAlign w:val="top"/>
          </w:tcPr>
          <w:p>
            <w:pPr>
              <w:spacing w:after="0"/>
            </w:pPr>
            <w:r/>
            <w:r>
              <w:rPr>
                <w:b w:val="0"/>
                <w:sz w:val="17"/>
              </w:rPr>
              <w:t>Low-value utilisation</w:t>
            </w:r>
          </w:p>
        </w:tc>
        <w:tc>
          <w:tcPr>
            <w:tcW w:type="dxa" w:w="5040"/>
            <w:vAlign w:val="top"/>
          </w:tcPr>
          <w:p>
            <w:pPr>
              <w:spacing w:after="0"/>
            </w:pPr>
            <w:r/>
            <w:r>
              <w:rPr>
                <w:b w:val="0"/>
                <w:sz w:val="17"/>
              </w:rPr>
              <w:t>define eligible contacts, audit, clinical indicators, co-payment calibration</w:t>
            </w:r>
          </w:p>
        </w:tc>
      </w:tr>
      <w:tr>
        <w:tc>
          <w:tcPr>
            <w:tcW w:type="dxa" w:w="5040"/>
            <w:vAlign w:val="top"/>
          </w:tcPr>
          <w:p>
            <w:pPr>
              <w:spacing w:after="0"/>
            </w:pPr>
            <w:r/>
            <w:r>
              <w:rPr>
                <w:b w:val="0"/>
                <w:sz w:val="17"/>
              </w:rPr>
              <w:t>Inequitable co-payment burden</w:t>
            </w:r>
          </w:p>
        </w:tc>
        <w:tc>
          <w:tcPr>
            <w:tcW w:type="dxa" w:w="5040"/>
            <w:vAlign w:val="top"/>
          </w:tcPr>
          <w:p>
            <w:pPr>
              <w:spacing w:after="0"/>
            </w:pPr>
            <w:r/>
            <w:r>
              <w:rPr>
                <w:b w:val="0"/>
                <w:sz w:val="17"/>
              </w:rPr>
              <w:t>zero/low co-payments for priority groups, caps, reporting</w:t>
            </w:r>
          </w:p>
        </w:tc>
      </w:tr>
      <w:tr>
        <w:tc>
          <w:tcPr>
            <w:tcW w:type="dxa" w:w="5040"/>
            <w:vAlign w:val="top"/>
          </w:tcPr>
          <w:p>
            <w:pPr>
              <w:spacing w:after="0"/>
            </w:pPr>
            <w:r/>
            <w:r>
              <w:rPr>
                <w:b w:val="0"/>
                <w:sz w:val="17"/>
              </w:rPr>
              <w:t>Fragmentation</w:t>
            </w:r>
          </w:p>
        </w:tc>
        <w:tc>
          <w:tcPr>
            <w:tcW w:type="dxa" w:w="5040"/>
            <w:vAlign w:val="top"/>
          </w:tcPr>
          <w:p>
            <w:pPr>
              <w:spacing w:after="0"/>
            </w:pPr>
            <w:r/>
            <w:r>
              <w:rPr>
                <w:b w:val="0"/>
                <w:sz w:val="17"/>
              </w:rPr>
              <w:t>require shared records, referral pathways and continuity indicators</w:t>
            </w:r>
          </w:p>
        </w:tc>
      </w:tr>
      <w:tr>
        <w:tc>
          <w:tcPr>
            <w:tcW w:type="dxa" w:w="5040"/>
            <w:vAlign w:val="top"/>
          </w:tcPr>
          <w:p>
            <w:pPr>
              <w:spacing w:after="0"/>
            </w:pPr>
            <w:r/>
            <w:r>
              <w:rPr>
                <w:b w:val="0"/>
                <w:sz w:val="17"/>
              </w:rPr>
              <w:t>Provider gaming</w:t>
            </w:r>
          </w:p>
        </w:tc>
        <w:tc>
          <w:tcPr>
            <w:tcW w:type="dxa" w:w="5040"/>
            <w:vAlign w:val="top"/>
          </w:tcPr>
          <w:p>
            <w:pPr>
              <w:spacing w:after="0"/>
            </w:pPr>
            <w:r/>
            <w:r>
              <w:rPr>
                <w:b w:val="0"/>
                <w:sz w:val="17"/>
              </w:rPr>
              <w:t>data analytics, audit, outlier review, service definitions</w:t>
            </w:r>
          </w:p>
        </w:tc>
      </w:tr>
      <w:tr>
        <w:tc>
          <w:tcPr>
            <w:tcW w:type="dxa" w:w="5040"/>
            <w:vAlign w:val="top"/>
          </w:tcPr>
          <w:p>
            <w:pPr>
              <w:spacing w:after="0"/>
            </w:pPr>
            <w:r/>
            <w:r>
              <w:rPr>
                <w:b w:val="0"/>
                <w:sz w:val="17"/>
              </w:rPr>
              <w:t>Scope/safety issues</w:t>
            </w:r>
          </w:p>
        </w:tc>
        <w:tc>
          <w:tcPr>
            <w:tcW w:type="dxa" w:w="5040"/>
            <w:vAlign w:val="top"/>
          </w:tcPr>
          <w:p>
            <w:pPr>
              <w:spacing w:after="0"/>
            </w:pPr>
            <w:r/>
            <w:r>
              <w:rPr>
                <w:b w:val="0"/>
                <w:sz w:val="17"/>
              </w:rPr>
              <w:t>credentialing, scopes of practice, escalation pathways, clinical governance</w:t>
            </w:r>
          </w:p>
        </w:tc>
      </w:tr>
      <w:tr>
        <w:tc>
          <w:tcPr>
            <w:tcW w:type="dxa" w:w="5040"/>
            <w:vAlign w:val="top"/>
          </w:tcPr>
          <w:p>
            <w:pPr>
              <w:spacing w:after="0"/>
            </w:pPr>
            <w:r/>
            <w:r>
              <w:rPr>
                <w:b w:val="0"/>
                <w:sz w:val="17"/>
              </w:rPr>
              <w:t>Fiscal exposure</w:t>
            </w:r>
          </w:p>
        </w:tc>
        <w:tc>
          <w:tcPr>
            <w:tcW w:type="dxa" w:w="5040"/>
            <w:vAlign w:val="top"/>
          </w:tcPr>
          <w:p>
            <w:pPr>
              <w:spacing w:after="0"/>
            </w:pPr>
            <w:r/>
            <w:r>
              <w:rPr>
                <w:b w:val="0"/>
                <w:sz w:val="17"/>
              </w:rPr>
              <w:t>staged rollout, benefit caps by contact type, evaluation triggers</w:t>
            </w:r>
          </w:p>
        </w:tc>
      </w:tr>
      <w:tr>
        <w:tc>
          <w:tcPr>
            <w:tcW w:type="dxa" w:w="5040"/>
            <w:vAlign w:val="top"/>
          </w:tcPr>
          <w:p>
            <w:pPr>
              <w:spacing w:after="0"/>
            </w:pPr>
            <w:r/>
            <w:r>
              <w:rPr>
                <w:b w:val="0"/>
                <w:sz w:val="17"/>
              </w:rPr>
              <w:t>PHO/locality disruption</w:t>
            </w:r>
          </w:p>
        </w:tc>
        <w:tc>
          <w:tcPr>
            <w:tcW w:type="dxa" w:w="5040"/>
            <w:vAlign w:val="top"/>
          </w:tcPr>
          <w:p>
            <w:pPr>
              <w:spacing w:after="0"/>
            </w:pPr>
            <w:r/>
            <w:r>
              <w:rPr>
                <w:b w:val="0"/>
                <w:sz w:val="17"/>
              </w:rPr>
              <w:t>separate value-adding functions from payment intermediation</w:t>
            </w:r>
          </w:p>
        </w:tc>
      </w:tr>
      <w:tr>
        <w:tc>
          <w:tcPr>
            <w:tcW w:type="dxa" w:w="5040"/>
            <w:vAlign w:val="top"/>
          </w:tcPr>
          <w:p>
            <w:pPr>
              <w:spacing w:after="0"/>
            </w:pPr>
            <w:r/>
            <w:r>
              <w:rPr>
                <w:b w:val="0"/>
                <w:sz w:val="17"/>
              </w:rPr>
              <w:t>Rural telehealth hollowing-out</w:t>
            </w:r>
          </w:p>
        </w:tc>
        <w:tc>
          <w:tcPr>
            <w:tcW w:type="dxa" w:w="5040"/>
            <w:vAlign w:val="top"/>
          </w:tcPr>
          <w:p>
            <w:pPr>
              <w:spacing w:after="0"/>
            </w:pPr>
            <w:r/>
            <w:r>
              <w:rPr>
                <w:b w:val="0"/>
                <w:sz w:val="17"/>
              </w:rPr>
              <w:t>rural in-person loading and physical-access KPIs</w:t>
            </w:r>
          </w:p>
        </w:tc>
      </w:tr>
    </w:tbl>
    <w:p/>
    <w:p>
      <w:pPr>
        <w:pStyle w:val="Heading2"/>
      </w:pPr>
      <w:r>
        <w:t>Recommendation</w:t>
      </w:r>
    </w:p>
    <w:p>
      <w:pPr>
        <w:spacing w:after="100"/>
      </w:pPr>
      <w:r>
        <w:t>RACMA should consider scoping a short policy discussion paper that frames this as a system-design problem rather than a sector funding claim. The paper should test whether capitation reweighting alone is enough, whether a Primary Care Benefits Schedule could shift marginal supply, and whether primary care and ambulance accountability should be raised to the same level as hospitals.</w:t>
      </w:r>
    </w:p>
    <w:p>
      <w:pPr>
        <w:pStyle w:val="Heading2"/>
      </w:pPr>
      <w:r>
        <w:t>Suggested wording for public use</w:t>
      </w:r>
    </w:p>
    <w:p>
      <w:pPr>
        <w:pStyle w:val="IntenseQuote"/>
      </w:pPr>
      <w:r>
        <w:t>New Zealand may be managing primary care and ambulance activity so tightly that it is buying hospital growth by default.</w:t>
      </w:r>
    </w:p>
    <w:p>
      <w:pPr>
        <w:pStyle w:val="Heading2"/>
      </w:pPr>
      <w:r>
        <w:t>Suggested wording for policy use</w:t>
      </w:r>
    </w:p>
    <w:p>
      <w:pPr>
        <w:pStyle w:val="IntenseQuote"/>
      </w:pPr>
      <w:r>
        <w:t>Current reform improves allocation within capitation. The larger question is whether the architecture constrains lower-cost access and shifts avoidable demand into higher-cost hospital care.</w:t>
      </w:r>
    </w:p>
    <w:p>
      <w:r>
        <w:br w:type="page"/>
      </w:r>
    </w:p>
    <w:p>
      <w:pPr>
        <w:pStyle w:val="Heading1"/>
      </w:pPr>
      <w:r>
        <w:t>Working source anchors</w:t>
      </w:r>
    </w:p>
    <w:p>
      <w:pPr>
        <w:pStyle w:val="ListBullet"/>
      </w:pPr>
      <w:r>
        <w:t>Ministry of Health capitation reweighting material and Sapere reweighting briefing.</w:t>
      </w:r>
    </w:p>
    <w:p>
      <w:pPr>
        <w:pStyle w:val="ListBullet"/>
      </w:pPr>
      <w:r>
        <w:t>Health and Disability System Review 2020 recommendations on Tier 1 funding and PHO contracting.</w:t>
      </w:r>
    </w:p>
    <w:p>
      <w:pPr>
        <w:pStyle w:val="ListBullet"/>
      </w:pPr>
      <w:r>
        <w:t>Ministry of Health 2025 PHO finances briefing.</w:t>
      </w:r>
    </w:p>
    <w:p>
      <w:pPr>
        <w:pStyle w:val="ListBullet"/>
      </w:pPr>
      <w:r>
        <w:t>Health NZ National Primary Care Dataset and primary care access target material.</w:t>
      </w:r>
    </w:p>
    <w:p>
      <w:pPr>
        <w:pStyle w:val="ListBullet"/>
      </w:pPr>
      <w:r>
        <w:t>Health NZ Ambulance Team commissioning and performance reporting material.</w:t>
      </w:r>
    </w:p>
    <w:p>
      <w:pPr>
        <w:pStyle w:val="ListBullet"/>
      </w:pPr>
      <w:r>
        <w:t>Australian Review of General Practice Incentives Expert Advisory Panel report.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Working draft for policy discussion - not an endorsed organisational position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Primary Care Funding Architecture | Policy brief v0.3.0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