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New Zealand Primary Care and Ambulance Funding Game</w:t>
      </w:r>
    </w:p>
    <w:p>
      <w:pPr>
        <w:pStyle w:val="Author"/>
      </w:pPr>
      <w:r>
        <w:t xml:space="preserve">Assoc Prof Dylan A Mordaunt</w:t>
      </w:r>
    </w:p>
    <w:bookmarkStart w:id="30" w:name="Xeede007611e2a68c1f62626ac385cc24758b95b"/>
    <w:p>
      <w:pPr>
        <w:pStyle w:val="Heading1"/>
      </w:pPr>
      <w:r>
        <w:t xml:space="preserve">Policy brief 06: The New Zealand primary care and ambulance funding game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New Zealand is not simply underfunding primary care. It may be running a repeated policy game in which lower-cost upstream sectors are tightly managed, while growth is allowed to appear in the higher-cost hospital system where pressure is visible, urgent and politically unavoidable.</w:t>
      </w:r>
    </w:p>
    <w:p>
      <w:pPr>
        <w:pStyle w:val="BodyText"/>
      </w:pPr>
      <w:r>
        <w:t xml:space="preserve">The issue is not capitation alone, PHOs alone, ambulance alone, or hospital deficits alone. The issue is how those subsystems interact.</w:t>
      </w:r>
    </w:p>
    <w:bookmarkEnd w:id="20"/>
    <w:bookmarkStart w:id="21" w:name="core-claim"/>
    <w:p>
      <w:pPr>
        <w:pStyle w:val="Heading2"/>
      </w:pPr>
      <w:r>
        <w:t xml:space="preserve">Core claim</w:t>
      </w:r>
    </w:p>
    <w:p>
      <w:pPr>
        <w:pStyle w:val="FirstParagraph"/>
      </w:pPr>
      <w:r>
        <w:t xml:space="preserve">Current reform is focused on improving capitation weights and measuring primary care access. Those steps are useful, but they may not change the rules that determine whether more safe, lower-cost contacts can actually be generated.</w:t>
      </w:r>
    </w:p>
    <w:p>
      <w:pPr>
        <w:pStyle w:val="BodyText"/>
      </w:pPr>
      <w:r>
        <w:t xml:space="preserve">A reweighted capitation formula may improve allocation across enrolled populations. It does not necessarily create more appointments, rural in-person services, urgent primary care capacity, pharmacist-led medicines contacts, nurse-practitioner contacts, allied-health contacts, paramedic treat-and-refer pathways or market entry by new providers.</w:t>
      </w:r>
    </w:p>
    <w:p>
      <w:pPr>
        <w:pStyle w:val="BodyText"/>
      </w:pPr>
      <w:r>
        <w:t xml:space="preserve">The larger question is:</w:t>
      </w:r>
    </w:p>
    <w:p>
      <w:pPr>
        <w:pStyle w:val="BlockText"/>
      </w:pPr>
      <w:r>
        <w:t xml:space="preserve">What rules of the game would allow safe, lower-cost, upstream care to expand before unmet need becomes hospital demand?</w:t>
      </w:r>
    </w:p>
    <w:bookmarkEnd w:id="21"/>
    <w:bookmarkStart w:id="22" w:name="the-dominant-repeated-game"/>
    <w:p>
      <w:pPr>
        <w:pStyle w:val="Heading2"/>
      </w:pPr>
      <w:r>
        <w:t xml:space="preserve">The dominant repeated game</w:t>
      </w:r>
    </w:p>
    <w:p>
      <w:pPr>
        <w:pStyle w:val="Compact"/>
        <w:numPr>
          <w:ilvl w:val="0"/>
          <w:numId w:val="1001"/>
        </w:numPr>
      </w:pPr>
      <w:r>
        <w:t xml:space="preserve">Primary care, urgent care and ambulance/prehospital care are managed through fixed or quasi-fixed budgets, capitation, contracts, PHOs, professional constraints and tight programme rules.</w:t>
      </w:r>
    </w:p>
    <w:p>
      <w:pPr>
        <w:pStyle w:val="Compact"/>
        <w:numPr>
          <w:ilvl w:val="0"/>
          <w:numId w:val="1001"/>
        </w:numPr>
      </w:pPr>
      <w:r>
        <w:t xml:space="preserve">Providers respond rationally by rationing access, closing books, raising co-payments, narrowing service models or not entering the market.</w:t>
      </w:r>
    </w:p>
    <w:p>
      <w:pPr>
        <w:pStyle w:val="Compact"/>
        <w:numPr>
          <w:ilvl w:val="0"/>
          <w:numId w:val="1001"/>
        </w:numPr>
      </w:pPr>
      <w:r>
        <w:t xml:space="preserve">Patients respond rationally by delaying care, seeking telehealth for some needs, calling ambulance or attending ED.</w:t>
      </w:r>
    </w:p>
    <w:p>
      <w:pPr>
        <w:pStyle w:val="Compact"/>
        <w:numPr>
          <w:ilvl w:val="0"/>
          <w:numId w:val="1001"/>
        </w:numPr>
      </w:pPr>
      <w:r>
        <w:t xml:space="preserve">Hospitals become the visible pressure valve.</w:t>
      </w:r>
    </w:p>
    <w:p>
      <w:pPr>
        <w:pStyle w:val="Compact"/>
        <w:numPr>
          <w:ilvl w:val="0"/>
          <w:numId w:val="1001"/>
        </w:numPr>
      </w:pPr>
      <w:r>
        <w:t xml:space="preserve">Health NZ and Ministers respond to the visible hospital problem.</w:t>
      </w:r>
    </w:p>
    <w:p>
      <w:pPr>
        <w:pStyle w:val="Compact"/>
        <w:numPr>
          <w:ilvl w:val="0"/>
          <w:numId w:val="1001"/>
        </w:numPr>
      </w:pPr>
      <w:r>
        <w:t xml:space="preserve">The upstream constraint remains, and the game repeats.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hospital-rescue dominance</w:t>
      </w:r>
      <w:r>
        <w:t xml:space="preserve">.</w:t>
      </w:r>
    </w:p>
    <w:bookmarkEnd w:id="22"/>
    <w:bookmarkStart w:id="23" w:name="the-mapped-games"/>
    <w:p>
      <w:pPr>
        <w:pStyle w:val="Heading2"/>
      </w:pPr>
      <w:r>
        <w:t xml:space="preserve">The mapped games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policy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Hospital-salience budget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pressure is visible and politically costly; upstream failure is dispersed.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NZ internal allocation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NZ operates hospitals and commissions primary/community care, creating asymmetric operational salience.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Capitation marginal-supply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Capitation supports continuity but weakens the marginal signal for additional clinically necessary contacts.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access pathway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Patients choose between early care, delay, telehealth, ambulance and ED based on cost, wait, trust and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 intermediation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PHOs may add value, but mandatory payment intermediation may add friction, opacity and entry barriers.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ACC/Health NZ cross-funder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 activity funding may stabilise general primary care supply; siloed ACC constraint may shift costs.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Ambulance conveyance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Conveyance can become the default if alternatives are not funded, governed or indemnified.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Scope-of-practice supply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eligibility may be narrower than legal or clinical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Telehealth/local-supply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Telehealth can extend access but may erode local in-person supply if not integrated.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Co-payment calibration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Co-payments can signal demand but can also worsen inequity and delayed care.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salience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measured at top-tier level gets managed; narrow targets can be gamed.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and trust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access can improve while equity worsens unless designed into the mechanism.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Political economy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Reform can be framed as pro-market, anti-PHO, anti-GP or anti-equity unless positioned carefully.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observability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 upstream failure remains less fundable than measured hospital pressure.</w:t>
            </w:r>
          </w:p>
        </w:tc>
      </w:tr>
    </w:tbl>
    <w:bookmarkEnd w:id="23"/>
    <w:bookmarkStart w:id="24" w:name="X71e25fcc247689edb3317a1105fd6a4da50330d"/>
    <w:p>
      <w:pPr>
        <w:pStyle w:val="Heading2"/>
      </w:pPr>
      <w:r>
        <w:t xml:space="preserve">Why capitation reweighting is necessary but insufficient</w:t>
      </w:r>
    </w:p>
    <w:p>
      <w:pPr>
        <w:pStyle w:val="FirstParagraph"/>
      </w:pPr>
      <w:r>
        <w:t xml:space="preserve">Capitation should remain part of the model. It supports continuity, enrolment, population responsibility and baseline viability. Reweighting for need is sensible.</w:t>
      </w:r>
    </w:p>
    <w:p>
      <w:pPr>
        <w:pStyle w:val="BodyText"/>
      </w:pPr>
      <w:r>
        <w:t xml:space="preserve">But capitation reweighting mainly answers an allocation question:</w:t>
      </w:r>
    </w:p>
    <w:p>
      <w:pPr>
        <w:pStyle w:val="BlockText"/>
      </w:pPr>
      <w:r>
        <w:t xml:space="preserve">How should existing primary care funding be distributed more fairly across enrolled populations?</w:t>
      </w:r>
    </w:p>
    <w:p>
      <w:pPr>
        <w:pStyle w:val="FirstParagraph"/>
      </w:pPr>
      <w:r>
        <w:t xml:space="preserve">It does not fully answer the supply question:</w:t>
      </w:r>
    </w:p>
    <w:p>
      <w:pPr>
        <w:pStyle w:val="BlockText"/>
      </w:pPr>
      <w:r>
        <w:t xml:space="preserve">How should the system allow clinically appropriate primary, urgent and ambulance care to expand when patients need it?</w:t>
      </w:r>
    </w:p>
    <w:bookmarkEnd w:id="24"/>
    <w:bookmarkStart w:id="25" w:name="X7b2d8ca406a97d9ea365d61a28743b78347cc15"/>
    <w:p>
      <w:pPr>
        <w:pStyle w:val="Heading2"/>
      </w:pPr>
      <w:r>
        <w:t xml:space="preserve">Policy mechanism: a Primary Care Benefits Schedule</w:t>
      </w:r>
    </w:p>
    <w:p>
      <w:pPr>
        <w:pStyle w:val="FirstParagraph"/>
      </w:pPr>
      <w:r>
        <w:t xml:space="preserve">The reform option is not uncontrolled fee-for-service. It is a nationally defined, rules-based benefit schedule for eligible contact types.</w:t>
      </w:r>
    </w:p>
    <w:p>
      <w:pPr>
        <w:pStyle w:val="BodyText"/>
      </w:pPr>
      <w:r>
        <w:t xml:space="preserve">Core features:</w:t>
      </w:r>
    </w:p>
    <w:p>
      <w:pPr>
        <w:pStyle w:val="Compact"/>
        <w:numPr>
          <w:ilvl w:val="0"/>
          <w:numId w:val="1002"/>
        </w:numPr>
      </w:pPr>
      <w:r>
        <w:t xml:space="preserve">retain capitation for continuity and enrolled-population responsibility;</w:t>
      </w:r>
    </w:p>
    <w:p>
      <w:pPr>
        <w:pStyle w:val="Compact"/>
        <w:numPr>
          <w:ilvl w:val="0"/>
          <w:numId w:val="1002"/>
        </w:numPr>
      </w:pPr>
      <w:r>
        <w:t xml:space="preserve">define eligible primary, urgent and ambulance/prehospital contact types;</w:t>
      </w:r>
    </w:p>
    <w:p>
      <w:pPr>
        <w:pStyle w:val="Compact"/>
        <w:numPr>
          <w:ilvl w:val="0"/>
          <w:numId w:val="1002"/>
        </w:numPr>
      </w:pPr>
      <w:r>
        <w:t xml:space="preserve">allow accredited providers to claim within legal scope, credentialing and clinical governance;</w:t>
      </w:r>
    </w:p>
    <w:p>
      <w:pPr>
        <w:pStyle w:val="Compact"/>
        <w:numPr>
          <w:ilvl w:val="0"/>
          <w:numId w:val="1002"/>
        </w:numPr>
      </w:pPr>
      <w:r>
        <w:t xml:space="preserve">use co-payments as a calibrated demand signal, with concessions, caps and equity protections;</w:t>
      </w:r>
    </w:p>
    <w:p>
      <w:pPr>
        <w:pStyle w:val="Compact"/>
        <w:numPr>
          <w:ilvl w:val="0"/>
          <w:numId w:val="1002"/>
        </w:numPr>
      </w:pPr>
      <w:r>
        <w:t xml:space="preserve">separate PHO/locality functions from mandatory payment-gateway functions;</w:t>
      </w:r>
    </w:p>
    <w:p>
      <w:pPr>
        <w:pStyle w:val="Compact"/>
        <w:numPr>
          <w:ilvl w:val="0"/>
          <w:numId w:val="1002"/>
        </w:numPr>
      </w:pPr>
      <w:r>
        <w:t xml:space="preserve">include ambulance alternatives such as hear-and-treat, treat-and-refer, alternative destination and safe follow-up;</w:t>
      </w:r>
    </w:p>
    <w:p>
      <w:pPr>
        <w:pStyle w:val="Compact"/>
        <w:numPr>
          <w:ilvl w:val="0"/>
          <w:numId w:val="1002"/>
        </w:numPr>
      </w:pPr>
      <w:r>
        <w:t xml:space="preserve">audit low-value activity, fragmentation and gaming;</w:t>
      </w:r>
    </w:p>
    <w:p>
      <w:pPr>
        <w:pStyle w:val="Compact"/>
        <w:numPr>
          <w:ilvl w:val="0"/>
          <w:numId w:val="1002"/>
        </w:numPr>
      </w:pPr>
      <w:r>
        <w:t xml:space="preserve">evaluate against access, continuity, equity, patient charges, ambulance conveyance, ED demand and avoidable hospitalisation.</w:t>
      </w:r>
    </w:p>
    <w:bookmarkEnd w:id="25"/>
    <w:bookmarkStart w:id="26" w:name="provider-eligibility"/>
    <w:p>
      <w:pPr>
        <w:pStyle w:val="Heading2"/>
      </w:pPr>
      <w:r>
        <w:t xml:space="preserve">Provider eligibility</w:t>
      </w:r>
    </w:p>
    <w:p>
      <w:pPr>
        <w:pStyle w:val="FirstParagraph"/>
      </w:pPr>
      <w:r>
        <w:t xml:space="preserve">Funding should follow clinically appropriate contact types, not professional guild boundaries.</w:t>
      </w:r>
    </w:p>
    <w:p>
      <w:pPr>
        <w:pStyle w:val="BodyText"/>
      </w:pPr>
      <w:r>
        <w:t xml:space="preserve">Eligible activity could be generated by:</w:t>
      </w:r>
    </w:p>
    <w:p>
      <w:pPr>
        <w:pStyle w:val="Compact"/>
        <w:numPr>
          <w:ilvl w:val="0"/>
          <w:numId w:val="1003"/>
        </w:numPr>
      </w:pPr>
      <w:r>
        <w:t xml:space="preserve">GPs;</w:t>
      </w:r>
    </w:p>
    <w:p>
      <w:pPr>
        <w:pStyle w:val="Compact"/>
        <w:numPr>
          <w:ilvl w:val="0"/>
          <w:numId w:val="1003"/>
        </w:numPr>
      </w:pPr>
      <w:r>
        <w:t xml:space="preserve">nurse practitioners;</w:t>
      </w:r>
    </w:p>
    <w:p>
      <w:pPr>
        <w:pStyle w:val="Compact"/>
        <w:numPr>
          <w:ilvl w:val="0"/>
          <w:numId w:val="1003"/>
        </w:numPr>
      </w:pPr>
      <w:r>
        <w:t xml:space="preserve">nurses operating under appropriate governance;</w:t>
      </w:r>
    </w:p>
    <w:p>
      <w:pPr>
        <w:pStyle w:val="Compact"/>
        <w:numPr>
          <w:ilvl w:val="0"/>
          <w:numId w:val="1003"/>
        </w:numPr>
      </w:pPr>
      <w:r>
        <w:t xml:space="preserve">pharmacists and pharmacist prescribers;</w:t>
      </w:r>
    </w:p>
    <w:p>
      <w:pPr>
        <w:pStyle w:val="Compact"/>
        <w:numPr>
          <w:ilvl w:val="0"/>
          <w:numId w:val="1003"/>
        </w:numPr>
      </w:pPr>
      <w:r>
        <w:t xml:space="preserve">physiotherapists and other allied health providers;</w:t>
      </w:r>
    </w:p>
    <w:p>
      <w:pPr>
        <w:pStyle w:val="Compact"/>
        <w:numPr>
          <w:ilvl w:val="0"/>
          <w:numId w:val="1003"/>
        </w:numPr>
      </w:pPr>
      <w:r>
        <w:t xml:space="preserve">paramedics and extended-care paramedics;</w:t>
      </w:r>
    </w:p>
    <w:p>
      <w:pPr>
        <w:pStyle w:val="Compact"/>
        <w:numPr>
          <w:ilvl w:val="0"/>
          <w:numId w:val="1003"/>
        </w:numPr>
      </w:pPr>
      <w:r>
        <w:t xml:space="preserve">kaupapa Maori and Pacific providers;</w:t>
      </w:r>
    </w:p>
    <w:p>
      <w:pPr>
        <w:pStyle w:val="Compact"/>
        <w:numPr>
          <w:ilvl w:val="0"/>
          <w:numId w:val="1003"/>
        </w:numPr>
      </w:pPr>
      <w:r>
        <w:t xml:space="preserve">integrated urgent care and telehealth providers.</w:t>
      </w:r>
    </w:p>
    <w:p>
      <w:pPr>
        <w:pStyle w:val="FirstParagraph"/>
      </w:pPr>
      <w:r>
        <w:t xml:space="preserve">Scopes of practice, prescribing regulation, credentialing and clinical governance should determine what a provider can safely do. The funding model should not artificially restrict supply to one professional group.</w:t>
      </w:r>
    </w:p>
    <w:bookmarkEnd w:id="26"/>
    <w:bookmarkStart w:id="27" w:name="top-tier-accountability"/>
    <w:p>
      <w:pPr>
        <w:pStyle w:val="Heading2"/>
      </w:pPr>
      <w:r>
        <w:t xml:space="preserve">Top-tier accountability</w:t>
      </w:r>
    </w:p>
    <w:p>
      <w:pPr>
        <w:pStyle w:val="FirstParagraph"/>
      </w:pPr>
      <w:r>
        <w:t xml:space="preserve">Primary care and ambulance should not merely be inputs to hospital performance. They should be top-tier system performance domains.</w:t>
      </w:r>
    </w:p>
    <w:p>
      <w:pPr>
        <w:pStyle w:val="BodyText"/>
      </w:pPr>
      <w:r>
        <w:t xml:space="preserve">A possible top-tier framework: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care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appointments accessed within seven days, stratified by region and equity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Same-day urgent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same-day urgent primary or after-hours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Enrolment and market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books, new-patient acceptance and non-enrolled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Co-payment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and high-percentile patient charges by group and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 provider or usual team continuity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Ambulance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time-critical response times by rurality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Ambulance alternatives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hear-and-treat, treat-and-refer and safe non-conveyance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Ambulance-hospital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 handover delay and ambulance time lost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 avoidance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ambulatory-sensitive and potentially preventable hospitalisations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and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revisits, adverse events and patient experience</w:t>
            </w:r>
          </w:p>
        </w:tc>
      </w:tr>
    </w:tbl>
    <w:bookmarkEnd w:id="27"/>
    <w:bookmarkStart w:id="28" w:name="what-should-be-modelled"/>
    <w:p>
      <w:pPr>
        <w:pStyle w:val="Heading2"/>
      </w:pPr>
      <w:r>
        <w:t xml:space="preserve">What should be modelled</w:t>
      </w:r>
    </w:p>
    <w:p>
      <w:pPr>
        <w:pStyle w:val="FirstParagraph"/>
      </w:pPr>
      <w:r>
        <w:t xml:space="preserve">Simulation modelling should compare:</w:t>
      </w:r>
    </w:p>
    <w:p>
      <w:pPr>
        <w:pStyle w:val="Compact"/>
        <w:numPr>
          <w:ilvl w:val="0"/>
          <w:numId w:val="1004"/>
        </w:numPr>
      </w:pPr>
      <w:r>
        <w:t xml:space="preserve">status quo;</w:t>
      </w:r>
    </w:p>
    <w:p>
      <w:pPr>
        <w:pStyle w:val="Compact"/>
        <w:numPr>
          <w:ilvl w:val="0"/>
          <w:numId w:val="1004"/>
        </w:numPr>
      </w:pPr>
      <w:r>
        <w:t xml:space="preserve">capitation reweighting only;</w:t>
      </w:r>
    </w:p>
    <w:p>
      <w:pPr>
        <w:pStyle w:val="Compact"/>
        <w:numPr>
          <w:ilvl w:val="0"/>
          <w:numId w:val="1004"/>
        </w:numPr>
      </w:pPr>
      <w:r>
        <w:t xml:space="preserve">capitation reweighting plus access target;</w:t>
      </w:r>
    </w:p>
    <w:p>
      <w:pPr>
        <w:pStyle w:val="Compact"/>
        <w:numPr>
          <w:ilvl w:val="0"/>
          <w:numId w:val="1004"/>
        </w:numPr>
      </w:pPr>
      <w:r>
        <w:t xml:space="preserve">benefits schedule for GP-only contacts;</w:t>
      </w:r>
    </w:p>
    <w:p>
      <w:pPr>
        <w:pStyle w:val="Compact"/>
        <w:numPr>
          <w:ilvl w:val="0"/>
          <w:numId w:val="1004"/>
        </w:numPr>
      </w:pPr>
      <w:r>
        <w:t xml:space="preserve">benefits schedule with broader provider eligibility;</w:t>
      </w:r>
    </w:p>
    <w:p>
      <w:pPr>
        <w:pStyle w:val="Compact"/>
        <w:numPr>
          <w:ilvl w:val="0"/>
          <w:numId w:val="1004"/>
        </w:numPr>
      </w:pPr>
      <w:r>
        <w:t xml:space="preserve">benefits schedule plus co-payment protections;</w:t>
      </w:r>
    </w:p>
    <w:p>
      <w:pPr>
        <w:pStyle w:val="Compact"/>
        <w:numPr>
          <w:ilvl w:val="0"/>
          <w:numId w:val="1004"/>
        </w:numPr>
      </w:pPr>
      <w:r>
        <w:t xml:space="preserve">ambulance alternatives funded as eligible contacts;</w:t>
      </w:r>
    </w:p>
    <w:p>
      <w:pPr>
        <w:pStyle w:val="Compact"/>
        <w:numPr>
          <w:ilvl w:val="0"/>
          <w:numId w:val="1004"/>
        </w:numPr>
      </w:pPr>
      <w:r>
        <w:t xml:space="preserve">PHO optionality/direct claiming;</w:t>
      </w:r>
    </w:p>
    <w:p>
      <w:pPr>
        <w:pStyle w:val="Compact"/>
        <w:numPr>
          <w:ilvl w:val="0"/>
          <w:numId w:val="1004"/>
        </w:numPr>
      </w:pPr>
      <w:r>
        <w:t xml:space="preserve">ACC fee-for-service constrained in isolation;</w:t>
      </w:r>
    </w:p>
    <w:p>
      <w:pPr>
        <w:pStyle w:val="Compact"/>
        <w:numPr>
          <w:ilvl w:val="0"/>
          <w:numId w:val="1004"/>
        </w:numPr>
      </w:pPr>
      <w:r>
        <w:t xml:space="preserve">top-tier primary and ambulance KPI accountability.</w:t>
      </w:r>
    </w:p>
    <w:p>
      <w:pPr>
        <w:pStyle w:val="FirstParagraph"/>
      </w:pPr>
      <w:r>
        <w:t xml:space="preserve">Outcomes should include supply, waiting time, closed books, fees, unmet need, rural in-person capacity, ambulance conveyance, ED demand, avoidable admissions, equity and total public expenditure.</w:t>
      </w:r>
    </w:p>
    <w:bookmarkEnd w:id="28"/>
    <w:bookmarkStart w:id="29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current debate risks asking how to distribute constrained primary care funding more fairly. The larger question is whether the system should continue constraining lower-cost access sectors and then funding the hospital growth that follows.</w:t>
      </w:r>
    </w:p>
    <w:p>
      <w:pPr>
        <w:pStyle w:val="BodyText"/>
      </w:pPr>
      <w:r>
        <w:t xml:space="preserve">The policy question is therefore not simply:</w:t>
      </w:r>
    </w:p>
    <w:p>
      <w:pPr>
        <w:pStyle w:val="BlockText"/>
      </w:pPr>
      <w:r>
        <w:t xml:space="preserve">How should capitation be reweighted?</w:t>
      </w:r>
    </w:p>
    <w:p>
      <w:pPr>
        <w:pStyle w:val="FirstParagraph"/>
      </w:pPr>
      <w:r>
        <w:t xml:space="preserve">It is:</w:t>
      </w:r>
    </w:p>
    <w:p>
      <w:pPr>
        <w:pStyle w:val="BlockText"/>
      </w:pPr>
      <w:r>
        <w:t xml:space="preserve">What rules of the game would allow safe, lower-cost, upstream care to expand before unmet need becomes hospital demand?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New Zealand Primary Care and Ambulance Funding Game</dc:title>
  <dc:creator>Assoc Prof Dylan A Mordaunt</dc:creator>
  <cp:keywords/>
  <dcterms:created xsi:type="dcterms:W3CDTF">2026-05-07T13:08:35Z</dcterms:created>
  <dcterms:modified xsi:type="dcterms:W3CDTF">2026-05-07T13:08:35Z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_updated">
    <vt:lpwstr>2026-05-07</vt:lpwstr>
  </property>
  <property fmtid="{D5CDD505-2E9C-101B-9397-08002B2CF9AE}" pid="3" name="owner">
    <vt:lpwstr>Dylan A Mordaunt</vt:lpwstr>
  </property>
  <property fmtid="{D5CDD505-2E9C-101B-9397-08002B2CF9AE}" pid="4" name="status">
    <vt:lpwstr>RACMA discussion draft</vt:lpwstr>
  </property>
  <property fmtid="{D5CDD505-2E9C-101B-9397-08002B2CF9AE}" pid="5" name="track">
    <vt:lpwstr>008-nz-game-theory-map</vt:lpwstr>
  </property>
  <property fmtid="{D5CDD505-2E9C-101B-9397-08002B2CF9AE}" pid="6" name="version">
    <vt:lpwstr>0.4.0</vt:lpwstr>
  </property>
</Properties>
</file>