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Parameterised model run report v1.0.0</w:t>
      </w:r>
    </w:p>
    <w:p>
      <w:r>
        <w:t>Source-informed demonstrative parameterisation; not an empirically calibrated predictive model.</w:t>
      </w:r>
    </w:p>
    <w:p>
      <w:pPr>
        <w:pStyle w:val="Heading1"/>
      </w:pPr>
      <w:r>
        <w:t>1. Executive summary</w:t>
      </w:r>
    </w:p>
    <w:p>
      <w:r>
        <w:t>This version identifies the model parameters, attaches public-source inputs, updates the scenario values, reruns the game models, hybrid synthesis, uncertainty layer and hybrid-informed MCDA, and provides plots and tabular artefacts for review.</w:t>
      </w:r>
    </w:p>
    <w:p>
      <w:r>
        <w:t>The strongest conclusion remains: demand-driven within rules; not demand-driven without rules.</w:t>
      </w:r>
    </w:p>
    <w:p>
      <w:pPr>
        <w:pStyle w:val="Heading1"/>
      </w:pPr>
      <w:r>
        <w:t>2. Scenario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D9EAF7"/>
          </w:tcPr>
          <w:p>
            <w:r>
              <w:rPr>
                <w:b/>
              </w:rPr>
              <w:t>scenario id</w:t>
            </w:r>
          </w:p>
        </w:tc>
        <w:tc>
          <w:tcPr>
            <w:tcW w:type="dxa" w:w="3504"/>
            <w:shd w:fill="D9EAF7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504"/>
            <w:shd w:fill="D9EAF7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504"/>
          </w:tcPr>
          <w:p>
            <w:r>
              <w:rPr>
                <w:sz w:val="14"/>
              </w:rPr>
              <w:t>P0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Current source-informed baseline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Current/public input baseline: capitation-centred, PHO-mediated, partial ACC/activity funding, imminent primary care target and developing NPCD.</w:t>
            </w:r>
          </w:p>
        </w:tc>
      </w:tr>
      <w:tr>
        <w:tc>
          <w:tcPr>
            <w:tcW w:type="dxa" w:w="3504"/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Capitation reweighting plus access target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Reweight capitation and implement the access target/NPCD, but do not introduce a demand-driven contact benefit stream.</w:t>
            </w:r>
          </w:p>
        </w:tc>
      </w:tr>
      <w:tr>
        <w:tc>
          <w:tcPr>
            <w:tcW w:type="dxa" w:w="3504"/>
          </w:tcPr>
          <w:p>
            <w:r>
              <w:rPr>
                <w:sz w:val="14"/>
              </w:rPr>
              <w:t>P2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National Primary Care Benefits Schedule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Defined primary/urgent/ambulance contact benefits, direct claiming, broader provider eligibility and moderate controls layered onto capitation.</w:t>
            </w:r>
          </w:p>
        </w:tc>
      </w:tr>
      <w:tr>
        <w:tc>
          <w:tcPr>
            <w:tcW w:type="dxa" w:w="3504"/>
          </w:tcPr>
          <w:p>
            <w:r>
              <w:rPr>
                <w:sz w:val="14"/>
              </w:rPr>
              <w:t>P3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Full upstream access architecture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Benefits schedule plus top-tier primary/ambulance KPIs, strong data, rural/in-person loading, equity protections, governance and ambulance alternatives.</w:t>
            </w:r>
          </w:p>
        </w:tc>
      </w:tr>
      <w:tr>
        <w:tc>
          <w:tcPr>
            <w:tcW w:type="dxa" w:w="3504"/>
          </w:tcPr>
          <w:p>
            <w:r>
              <w:rPr>
                <w:sz w:val="14"/>
              </w:rPr>
              <w:t>P4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Benefits without adequate controls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Demand-driven benefits with broad eligibility but weak controls, weak equity protection and weak integration.</w:t>
            </w:r>
          </w:p>
        </w:tc>
      </w:tr>
      <w:tr>
        <w:tc>
          <w:tcPr>
            <w:tcW w:type="dxa" w:w="3504"/>
          </w:tcPr>
          <w:p>
            <w:r>
              <w:rPr>
                <w:sz w:val="14"/>
              </w:rPr>
              <w:t>P5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ACC activity constraint shock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Narrow cost-containment move that constrains ACC activity funding without compensating primary care supply architecture.</w:t>
            </w:r>
          </w:p>
        </w:tc>
      </w:tr>
      <w:tr>
        <w:tc>
          <w:tcPr>
            <w:tcW w:type="dxa" w:w="3504"/>
          </w:tcPr>
          <w:p>
            <w:r>
              <w:rPr>
                <w:sz w:val="14"/>
              </w:rPr>
              <w:t>P6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Ambulance alternatives only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Strengthen ambulance alternative disposition pathways and KPIs while leaving most primary care funding architecture unchanged.</w:t>
            </w:r>
          </w:p>
        </w:tc>
      </w:tr>
      <w:tr>
        <w:tc>
          <w:tcPr>
            <w:tcW w:type="dxa" w:w="3504"/>
          </w:tcPr>
          <w:p>
            <w:r>
              <w:rPr>
                <w:sz w:val="14"/>
              </w:rPr>
              <w:t>P7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Scope-enabled provider supply only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Broaden provider eligibility and clinical governance without a full demand-driven benefit stream or full accountability reset.</w:t>
            </w:r>
          </w:p>
        </w:tc>
      </w:tr>
      <w:tr>
        <w:tc>
          <w:tcPr>
            <w:tcW w:type="dxa" w:w="3504"/>
          </w:tcPr>
          <w:p>
            <w:r>
              <w:rPr>
                <w:sz w:val="14"/>
              </w:rPr>
              <w:t>P8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Direct claims and PHO intermediation reform only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Reduce PHO payment-gateway friction and add direct claims, but do not materially increase eligible contact benefits.</w:t>
            </w:r>
          </w:p>
        </w:tc>
      </w:tr>
    </w:tbl>
    <w:p>
      <w:pPr>
        <w:pStyle w:val="Heading1"/>
      </w:pPr>
      <w:r>
        <w:t>3. Hybrid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shd w:fill="D9EAF7"/>
          </w:tcPr>
          <w:p>
            <w:r>
              <w:rPr>
                <w:b/>
              </w:rPr>
              <w:t>scenario id</w:t>
            </w:r>
          </w:p>
        </w:tc>
        <w:tc>
          <w:tcPr>
            <w:tcW w:type="dxa" w:w="1314"/>
            <w:shd w:fill="D9EAF7"/>
          </w:tcPr>
          <w:p>
            <w:r>
              <w:rPr>
                <w:b/>
              </w:rPr>
              <w:t>scenario name</w:t>
            </w:r>
          </w:p>
        </w:tc>
        <w:tc>
          <w:tcPr>
            <w:tcW w:type="dxa" w:w="1314"/>
            <w:shd w:fill="D9EAF7"/>
          </w:tcPr>
          <w:p>
            <w:r>
              <w:rPr>
                <w:b/>
              </w:rPr>
              <w:t>hybrid viability score</w:t>
            </w:r>
          </w:p>
        </w:tc>
        <w:tc>
          <w:tcPr>
            <w:tcW w:type="dxa" w:w="1314"/>
            <w:shd w:fill="D9EAF7"/>
          </w:tcPr>
          <w:p>
            <w:r>
              <w:rPr>
                <w:b/>
              </w:rPr>
              <w:t>supply generation index</w:t>
            </w:r>
          </w:p>
        </w:tc>
        <w:tc>
          <w:tcPr>
            <w:tcW w:type="dxa" w:w="1314"/>
            <w:shd w:fill="D9EAF7"/>
          </w:tcPr>
          <w:p>
            <w:r>
              <w:rPr>
                <w:b/>
              </w:rPr>
              <w:t>hospital deflection index</w:t>
            </w:r>
          </w:p>
        </w:tc>
        <w:tc>
          <w:tcPr>
            <w:tcW w:type="dxa" w:w="1314"/>
            <w:shd w:fill="D9EAF7"/>
          </w:tcPr>
          <w:p>
            <w:r>
              <w:rPr>
                <w:b/>
              </w:rPr>
              <w:t>weighted hospital pressure</w:t>
            </w:r>
          </w:p>
        </w:tc>
        <w:tc>
          <w:tcPr>
            <w:tcW w:type="dxa" w:w="1314"/>
            <w:shd w:fill="D9EAF7"/>
          </w:tcPr>
          <w:p>
            <w:r>
              <w:rPr>
                <w:b/>
              </w:rPr>
              <w:t>fiscal gaming risk index</w:t>
            </w:r>
          </w:p>
        </w:tc>
        <w:tc>
          <w:tcPr>
            <w:tcW w:type="dxa" w:w="1314"/>
            <w:shd w:fill="D9EAF7"/>
          </w:tcPr>
          <w:p>
            <w:r>
              <w:rPr>
                <w:b/>
              </w:rPr>
              <w:t>interaction penalty</w:t>
            </w:r>
          </w:p>
        </w:tc>
      </w:tr>
      <w:tr>
        <w:tc>
          <w:tcPr>
            <w:tcW w:type="dxa" w:w="1314"/>
          </w:tcPr>
          <w:p>
            <w:r>
              <w:rPr>
                <w:sz w:val="14"/>
              </w:rPr>
              <w:t>P0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Current source-informed baseline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24.97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20.40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31.20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72.04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14.27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14.06</w:t>
            </w:r>
          </w:p>
        </w:tc>
      </w:tr>
      <w:tr>
        <w:tc>
          <w:tcPr>
            <w:tcW w:type="dxa" w:w="1314"/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Capitation reweighting plus access target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32.05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22.10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35.80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68.64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12.90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11.81</w:t>
            </w:r>
          </w:p>
        </w:tc>
      </w:tr>
      <w:tr>
        <w:tc>
          <w:tcPr>
            <w:tcW w:type="dxa" w:w="1314"/>
          </w:tcPr>
          <w:p>
            <w:r>
              <w:rPr>
                <w:sz w:val="14"/>
              </w:rPr>
              <w:t>P2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National Primary Care Benefits Schedule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54.00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60.04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52.62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48.24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16.60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5.88</w:t>
            </w:r>
          </w:p>
        </w:tc>
      </w:tr>
      <w:tr>
        <w:tc>
          <w:tcPr>
            <w:tcW w:type="dxa" w:w="1314"/>
          </w:tcPr>
          <w:p>
            <w:r>
              <w:rPr>
                <w:sz w:val="14"/>
              </w:rPr>
              <w:t>P3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Full upstream access architecture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67.36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70.00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66.62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37.22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10.84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3.09</w:t>
            </w:r>
          </w:p>
        </w:tc>
      </w:tr>
      <w:tr>
        <w:tc>
          <w:tcPr>
            <w:tcW w:type="dxa" w:w="1314"/>
          </w:tcPr>
          <w:p>
            <w:r>
              <w:rPr>
                <w:sz w:val="14"/>
              </w:rPr>
              <w:t>P4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Benefits without adequate controls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34.61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64.32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52.60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51.50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41.82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15.15</w:t>
            </w:r>
          </w:p>
        </w:tc>
      </w:tr>
      <w:tr>
        <w:tc>
          <w:tcPr>
            <w:tcW w:type="dxa" w:w="1314"/>
          </w:tcPr>
          <w:p>
            <w:r>
              <w:rPr>
                <w:sz w:val="14"/>
              </w:rPr>
              <w:t>P5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ACC activity constraint shock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23.71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18.84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29.10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73.96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14.13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14.16</w:t>
            </w:r>
          </w:p>
        </w:tc>
      </w:tr>
      <w:tr>
        <w:tc>
          <w:tcPr>
            <w:tcW w:type="dxa" w:w="1314"/>
          </w:tcPr>
          <w:p>
            <w:r>
              <w:rPr>
                <w:sz w:val="14"/>
              </w:rPr>
              <w:t>P6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Ambulance alternatives only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33.03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21.86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44.22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66.20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12.46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12.79</w:t>
            </w:r>
          </w:p>
        </w:tc>
      </w:tr>
      <w:tr>
        <w:tc>
          <w:tcPr>
            <w:tcW w:type="dxa" w:w="1314"/>
          </w:tcPr>
          <w:p>
            <w:r>
              <w:rPr>
                <w:sz w:val="14"/>
              </w:rPr>
              <w:t>P7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Scope-enabled provider supply only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38.34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40.80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39.93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60.58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16.45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10.83</w:t>
            </w:r>
          </w:p>
        </w:tc>
      </w:tr>
      <w:tr>
        <w:tc>
          <w:tcPr>
            <w:tcW w:type="dxa" w:w="1314"/>
          </w:tcPr>
          <w:p>
            <w:r>
              <w:rPr>
                <w:sz w:val="14"/>
              </w:rPr>
              <w:t>P8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Direct claims and PHO intermediation reform only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34.56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34.45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35.51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66.53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16.34</w:t>
            </w:r>
          </w:p>
        </w:tc>
        <w:tc>
          <w:tcPr>
            <w:tcW w:type="dxa" w:w="1314"/>
          </w:tcPr>
          <w:p>
            <w:r>
              <w:rPr>
                <w:sz w:val="14"/>
              </w:rPr>
              <w:t>11.21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eterised-hybrid-viability-v1.0.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4457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eterised-supply-vs-hospital-pressure-v1.0.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Hybrid-informed MCDA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fill="D9EAF7"/>
          </w:tcPr>
          <w:p>
            <w:r>
              <w:rPr>
                <w:b/>
              </w:rPr>
              <w:t>rank</w:t>
            </w:r>
          </w:p>
        </w:tc>
        <w:tc>
          <w:tcPr>
            <w:tcW w:type="dxa" w:w="1752"/>
            <w:shd w:fill="D9EAF7"/>
          </w:tcPr>
          <w:p>
            <w:r>
              <w:rPr>
                <w:b/>
              </w:rPr>
              <w:t>scenario id</w:t>
            </w:r>
          </w:p>
        </w:tc>
        <w:tc>
          <w:tcPr>
            <w:tcW w:type="dxa" w:w="1752"/>
            <w:shd w:fill="D9EAF7"/>
          </w:tcPr>
          <w:p>
            <w:r>
              <w:rPr>
                <w:b/>
              </w:rPr>
              <w:t>scenario name</w:t>
            </w:r>
          </w:p>
        </w:tc>
        <w:tc>
          <w:tcPr>
            <w:tcW w:type="dxa" w:w="1752"/>
            <w:shd w:fill="D9EAF7"/>
          </w:tcPr>
          <w:p>
            <w:r>
              <w:rPr>
                <w:b/>
              </w:rPr>
              <w:t>weighted score before penalty</w:t>
            </w:r>
          </w:p>
        </w:tc>
        <w:tc>
          <w:tcPr>
            <w:tcW w:type="dxa" w:w="1752"/>
            <w:shd w:fill="D9EAF7"/>
          </w:tcPr>
          <w:p>
            <w:r>
              <w:rPr>
                <w:b/>
              </w:rPr>
              <w:t>risk penalty</w:t>
            </w:r>
          </w:p>
        </w:tc>
        <w:tc>
          <w:tcPr>
            <w:tcW w:type="dxa" w:w="1752"/>
            <w:shd w:fill="D9EAF7"/>
          </w:tcPr>
          <w:p>
            <w:r>
              <w:rPr>
                <w:b/>
              </w:rPr>
              <w:t>risk adjusted mcda score</w:t>
            </w:r>
          </w:p>
        </w:tc>
      </w:tr>
      <w:tr>
        <w:tc>
          <w:tcPr>
            <w:tcW w:type="dxa" w:w="1752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P3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Full upstream access architecture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77.34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2.04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75.30</w:t>
            </w:r>
          </w:p>
        </w:tc>
      </w:tr>
      <w:tr>
        <w:tc>
          <w:tcPr>
            <w:tcW w:type="dxa" w:w="1752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P2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National Primary Care Benefits Schedule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66.79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3.24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63.54</w:t>
            </w:r>
          </w:p>
        </w:tc>
      </w:tr>
      <w:tr>
        <w:tc>
          <w:tcPr>
            <w:tcW w:type="dxa" w:w="1752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P8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Direct claims and PHO intermediation reform only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55.96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3.74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52.22</w:t>
            </w:r>
          </w:p>
        </w:tc>
      </w:tr>
      <w:tr>
        <w:tc>
          <w:tcPr>
            <w:tcW w:type="dxa" w:w="1752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P7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Scope-enabled provider supply only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55.76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3.71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52.05</w:t>
            </w:r>
          </w:p>
        </w:tc>
      </w:tr>
      <w:tr>
        <w:tc>
          <w:tcPr>
            <w:tcW w:type="dxa" w:w="1752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P6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Ambulance alternatives only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54.06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3.27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50.78</w:t>
            </w:r>
          </w:p>
        </w:tc>
      </w:tr>
      <w:tr>
        <w:tc>
          <w:tcPr>
            <w:tcW w:type="dxa" w:w="1752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Capitation reweighting plus access target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52.11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3.25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48.86</w:t>
            </w:r>
          </w:p>
        </w:tc>
      </w:tr>
      <w:tr>
        <w:tc>
          <w:tcPr>
            <w:tcW w:type="dxa" w:w="1752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P4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Benefits without adequate controls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53.96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8.21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45.75</w:t>
            </w:r>
          </w:p>
        </w:tc>
      </w:tr>
      <w:tr>
        <w:tc>
          <w:tcPr>
            <w:tcW w:type="dxa" w:w="1752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P0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Current source-informed baseline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47.75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3.69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44.06</w:t>
            </w:r>
          </w:p>
        </w:tc>
      </w:tr>
      <w:tr>
        <w:tc>
          <w:tcPr>
            <w:tcW w:type="dxa" w:w="1752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P5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ACC activity constraint shock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46.96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3.68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43.28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3566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eterised-mcda-ranking-v1.0.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Uncertainty and sensitivity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shd w:fill="D9EAF7"/>
          </w:tcPr>
          <w:p>
            <w:r>
              <w:rPr>
                <w:b/>
              </w:rPr>
              <w:t>scenario id</w:t>
            </w:r>
          </w:p>
        </w:tc>
        <w:tc>
          <w:tcPr>
            <w:tcW w:type="dxa" w:w="1314"/>
            <w:shd w:fill="D9EAF7"/>
          </w:tcPr>
          <w:p>
            <w:r>
              <w:rPr>
                <w:b/>
              </w:rPr>
              <w:t>scenario name</w:t>
            </w:r>
          </w:p>
        </w:tc>
        <w:tc>
          <w:tcPr>
            <w:tcW w:type="dxa" w:w="1314"/>
            <w:shd w:fill="D9EAF7"/>
          </w:tcPr>
          <w:p>
            <w:r>
              <w:rPr>
                <w:b/>
              </w:rPr>
              <w:t>hybrid viability score mean</w:t>
            </w:r>
          </w:p>
        </w:tc>
        <w:tc>
          <w:tcPr>
            <w:tcW w:type="dxa" w:w="1314"/>
            <w:shd w:fill="D9EAF7"/>
          </w:tcPr>
          <w:p>
            <w:r>
              <w:rPr>
                <w:b/>
              </w:rPr>
              <w:t>hybrid viability score p05</w:t>
            </w:r>
          </w:p>
        </w:tc>
        <w:tc>
          <w:tcPr>
            <w:tcW w:type="dxa" w:w="1314"/>
            <w:shd w:fill="D9EAF7"/>
          </w:tcPr>
          <w:p>
            <w:r>
              <w:rPr>
                <w:b/>
              </w:rPr>
              <w:t>hybrid viability score p95</w:t>
            </w:r>
          </w:p>
        </w:tc>
        <w:tc>
          <w:tcPr>
            <w:tcW w:type="dxa" w:w="1314"/>
            <w:shd w:fill="D9EAF7"/>
          </w:tcPr>
          <w:p>
            <w:r>
              <w:rPr>
                <w:b/>
              </w:rPr>
              <w:t>weighted hospital pressure mean</w:t>
            </w:r>
          </w:p>
        </w:tc>
        <w:tc>
          <w:tcPr>
            <w:tcW w:type="dxa" w:w="1314"/>
            <w:shd w:fill="D9EAF7"/>
          </w:tcPr>
          <w:p>
            <w:r>
              <w:rPr>
                <w:b/>
              </w:rPr>
              <w:t>weighted hospital pressure p05</w:t>
            </w:r>
          </w:p>
        </w:tc>
        <w:tc>
          <w:tcPr>
            <w:tcW w:type="dxa" w:w="1314"/>
            <w:shd w:fill="D9EAF7"/>
          </w:tcPr>
          <w:p>
            <w:r>
              <w:rPr>
                <w:b/>
              </w:rPr>
              <w:t>weighted hospital pressure p95</w:t>
            </w:r>
          </w:p>
        </w:tc>
      </w:tr>
      <w:tr>
        <w:tc>
          <w:tcPr>
            <w:tcW w:type="dxa" w:w="1314"/>
          </w:tcPr>
          <w:p>
            <w:r>
              <w:rPr>
                <w:sz w:val="12"/>
              </w:rPr>
              <w:t>P0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Current source-informed baseline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24.96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21.92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27.91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72.03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69.86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74.17</w:t>
            </w:r>
          </w:p>
        </w:tc>
      </w:tr>
      <w:tr>
        <w:tc>
          <w:tcPr>
            <w:tcW w:type="dxa" w:w="1314"/>
          </w:tcPr>
          <w:p>
            <w:r>
              <w:rPr>
                <w:sz w:val="12"/>
              </w:rPr>
              <w:t>P1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Capitation reweighting plus access target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32.17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29.24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34.90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68.48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66.05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70.82</w:t>
            </w:r>
          </w:p>
        </w:tc>
      </w:tr>
      <w:tr>
        <w:tc>
          <w:tcPr>
            <w:tcW w:type="dxa" w:w="1314"/>
          </w:tcPr>
          <w:p>
            <w:r>
              <w:rPr>
                <w:sz w:val="12"/>
              </w:rPr>
              <w:t>P2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National Primary Care Benefits Schedule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53.75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51.02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56.47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48.31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45.67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50.74</w:t>
            </w:r>
          </w:p>
        </w:tc>
      </w:tr>
      <w:tr>
        <w:tc>
          <w:tcPr>
            <w:tcW w:type="dxa" w:w="1314"/>
          </w:tcPr>
          <w:p>
            <w:r>
              <w:rPr>
                <w:sz w:val="12"/>
              </w:rPr>
              <w:t>P3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Full upstream access architecture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67.26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64.86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69.57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37.29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34.84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39.74</w:t>
            </w:r>
          </w:p>
        </w:tc>
      </w:tr>
      <w:tr>
        <w:tc>
          <w:tcPr>
            <w:tcW w:type="dxa" w:w="1314"/>
          </w:tcPr>
          <w:p>
            <w:r>
              <w:rPr>
                <w:sz w:val="12"/>
              </w:rPr>
              <w:t>P4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Benefits without adequate controls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34.57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31.27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37.87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51.61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49.19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54.08</w:t>
            </w:r>
          </w:p>
        </w:tc>
      </w:tr>
      <w:tr>
        <w:tc>
          <w:tcPr>
            <w:tcW w:type="dxa" w:w="1314"/>
          </w:tcPr>
          <w:p>
            <w:r>
              <w:rPr>
                <w:sz w:val="12"/>
              </w:rPr>
              <w:t>P5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ACC activity constraint shock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23.74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20.70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26.91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73.86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71.56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75.99</w:t>
            </w:r>
          </w:p>
        </w:tc>
      </w:tr>
      <w:tr>
        <w:tc>
          <w:tcPr>
            <w:tcW w:type="dxa" w:w="1314"/>
          </w:tcPr>
          <w:p>
            <w:r>
              <w:rPr>
                <w:sz w:val="12"/>
              </w:rPr>
              <w:t>P6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Ambulance alternatives only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33.17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30.34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36.21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66.03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63.67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68.27</w:t>
            </w:r>
          </w:p>
        </w:tc>
      </w:tr>
      <w:tr>
        <w:tc>
          <w:tcPr>
            <w:tcW w:type="dxa" w:w="1314"/>
          </w:tcPr>
          <w:p>
            <w:r>
              <w:rPr>
                <w:sz w:val="12"/>
              </w:rPr>
              <w:t>P7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Scope-enabled provider supply only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38.26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35.16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41.57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60.51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57.55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63.30</w:t>
            </w:r>
          </w:p>
        </w:tc>
      </w:tr>
      <w:tr>
        <w:tc>
          <w:tcPr>
            <w:tcW w:type="dxa" w:w="1314"/>
          </w:tcPr>
          <w:p>
            <w:r>
              <w:rPr>
                <w:sz w:val="12"/>
              </w:rPr>
              <w:t>P8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Direct claims and PHO intermediation reform only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34.50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31.18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37.58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66.50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63.88</w:t>
            </w:r>
          </w:p>
        </w:tc>
        <w:tc>
          <w:tcPr>
            <w:tcW w:type="dxa" w:w="1314"/>
          </w:tcPr>
          <w:p>
            <w:r>
              <w:rPr>
                <w:sz w:val="12"/>
              </w:rPr>
              <w:t>69.19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2971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eterised-uncertainty-hybrid-viability-v1.0.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eterised-top-sensitivity-drivers-v1.0.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Game-level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fill="D9EAF7"/>
          </w:tcPr>
          <w:p>
            <w:r>
              <w:rPr>
                <w:b/>
              </w:rPr>
              <w:t>scenario id</w:t>
            </w:r>
          </w:p>
        </w:tc>
        <w:tc>
          <w:tcPr>
            <w:tcW w:type="dxa" w:w="1752"/>
            <w:shd w:fill="D9EAF7"/>
          </w:tcPr>
          <w:p>
            <w:r>
              <w:rPr>
                <w:b/>
              </w:rPr>
              <w:t>scenario name</w:t>
            </w:r>
          </w:p>
        </w:tc>
        <w:tc>
          <w:tcPr>
            <w:tcW w:type="dxa" w:w="1752"/>
            <w:shd w:fill="D9EAF7"/>
          </w:tcPr>
          <w:p>
            <w:r>
              <w:rPr>
                <w:b/>
              </w:rPr>
              <w:t>access score</w:t>
            </w:r>
          </w:p>
        </w:tc>
        <w:tc>
          <w:tcPr>
            <w:tcW w:type="dxa" w:w="1752"/>
            <w:shd w:fill="D9EAF7"/>
          </w:tcPr>
          <w:p>
            <w:r>
              <w:rPr>
                <w:b/>
              </w:rPr>
              <w:t>hospital pressure</w:t>
            </w:r>
          </w:p>
        </w:tc>
        <w:tc>
          <w:tcPr>
            <w:tcW w:type="dxa" w:w="1752"/>
            <w:shd w:fill="D9EAF7"/>
          </w:tcPr>
          <w:p>
            <w:r>
              <w:rPr>
                <w:b/>
              </w:rPr>
              <w:t>gaming risk</w:t>
            </w:r>
          </w:p>
        </w:tc>
        <w:tc>
          <w:tcPr>
            <w:tcW w:type="dxa" w:w="1752"/>
            <w:shd w:fill="D9EAF7"/>
          </w:tcPr>
          <w:p>
            <w:r>
              <w:rPr>
                <w:b/>
              </w:rPr>
              <w:t>system welfare</w:t>
            </w:r>
          </w:p>
        </w:tc>
      </w:tr>
      <w:tr>
        <w:tc>
          <w:tcPr>
            <w:tcW w:type="dxa" w:w="1752"/>
          </w:tcPr>
          <w:p>
            <w:r>
              <w:rPr>
                <w:sz w:val="14"/>
              </w:rPr>
              <w:t>P0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Current source-informed baseline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38.10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72.07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20.42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45.58</w:t>
            </w:r>
          </w:p>
        </w:tc>
      </w:tr>
      <w:tr>
        <w:tc>
          <w:tcPr>
            <w:tcW w:type="dxa" w:w="1752"/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Capitation reweighting plus access target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41.41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68.66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19.60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48.97</w:t>
            </w:r>
          </w:p>
        </w:tc>
      </w:tr>
      <w:tr>
        <w:tc>
          <w:tcPr>
            <w:tcW w:type="dxa" w:w="1752"/>
          </w:tcPr>
          <w:p>
            <w:r>
              <w:rPr>
                <w:sz w:val="14"/>
              </w:rPr>
              <w:t>P2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National Primary Care Benefits Schedule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66.69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48.81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18.93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63.17</w:t>
            </w:r>
          </w:p>
        </w:tc>
      </w:tr>
      <w:tr>
        <w:tc>
          <w:tcPr>
            <w:tcW w:type="dxa" w:w="1752"/>
          </w:tcPr>
          <w:p>
            <w:r>
              <w:rPr>
                <w:sz w:val="14"/>
              </w:rPr>
              <w:t>P3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Full upstream access architecture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76.44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37.63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15.38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71.61</w:t>
            </w:r>
          </w:p>
        </w:tc>
      </w:tr>
      <w:tr>
        <w:tc>
          <w:tcPr>
            <w:tcW w:type="dxa" w:w="1752"/>
          </w:tcPr>
          <w:p>
            <w:r>
              <w:rPr>
                <w:sz w:val="14"/>
              </w:rPr>
              <w:t>P4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Benefits without adequate controls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66.62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52.52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34.04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54.96</w:t>
            </w:r>
          </w:p>
        </w:tc>
      </w:tr>
      <w:tr>
        <w:tc>
          <w:tcPr>
            <w:tcW w:type="dxa" w:w="1752"/>
          </w:tcPr>
          <w:p>
            <w:r>
              <w:rPr>
                <w:sz w:val="14"/>
              </w:rPr>
              <w:t>P5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ACC activity constraint shock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36.13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74.05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20.37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44.41</w:t>
            </w:r>
          </w:p>
        </w:tc>
      </w:tr>
      <w:tr>
        <w:tc>
          <w:tcPr>
            <w:tcW w:type="dxa" w:w="1752"/>
          </w:tcPr>
          <w:p>
            <w:r>
              <w:rPr>
                <w:sz w:val="14"/>
              </w:rPr>
              <w:t>P6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Ambulance alternatives only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42.39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66.05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18.01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49.50</w:t>
            </w:r>
          </w:p>
        </w:tc>
      </w:tr>
      <w:tr>
        <w:tc>
          <w:tcPr>
            <w:tcW w:type="dxa" w:w="1752"/>
          </w:tcPr>
          <w:p>
            <w:r>
              <w:rPr>
                <w:sz w:val="14"/>
              </w:rPr>
              <w:t>P7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Scope-enabled provider supply only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51.74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60.87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20.78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53.46</w:t>
            </w:r>
          </w:p>
        </w:tc>
      </w:tr>
      <w:tr>
        <w:tc>
          <w:tcPr>
            <w:tcW w:type="dxa" w:w="1752"/>
          </w:tcPr>
          <w:p>
            <w:r>
              <w:rPr>
                <w:sz w:val="14"/>
              </w:rPr>
              <w:t>P8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Direct claims and PHO intermediation reform only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45.88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66.51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19.25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50.25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37822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eterised-game-welfare-heatmap-v1.0.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Parameter 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fill="D9EAF7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1752"/>
            <w:shd w:fill="D9EAF7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1752"/>
            <w:shd w:fill="D9EAF7"/>
          </w:tcPr>
          <w:p>
            <w:r>
              <w:rPr>
                <w:b/>
              </w:rPr>
              <w:t>source value</w:t>
            </w:r>
          </w:p>
        </w:tc>
        <w:tc>
          <w:tcPr>
            <w:tcW w:type="dxa" w:w="1752"/>
            <w:shd w:fill="D9EAF7"/>
          </w:tcPr>
          <w:p>
            <w:r>
              <w:rPr>
                <w:b/>
              </w:rPr>
              <w:t>current normalised value</w:t>
            </w:r>
          </w:p>
        </w:tc>
        <w:tc>
          <w:tcPr>
            <w:tcW w:type="dxa" w:w="1752"/>
            <w:shd w:fill="D9EAF7"/>
          </w:tcPr>
          <w:p>
            <w:r>
              <w:rPr>
                <w:b/>
              </w:rPr>
              <w:t>evidence level</w:t>
            </w:r>
          </w:p>
        </w:tc>
        <w:tc>
          <w:tcPr>
            <w:tcW w:type="dxa" w:w="1752"/>
            <w:shd w:fill="D9EAF7"/>
          </w:tcPr>
          <w:p>
            <w:r>
              <w:rPr>
                <w:b/>
              </w:rPr>
              <w:t>confidence 0 to 1</w:t>
            </w:r>
          </w:p>
        </w:tc>
      </w:tr>
      <w:tr>
        <w:tc>
          <w:tcPr>
            <w:tcW w:type="dxa" w:w="1752"/>
          </w:tcPr>
          <w:p>
            <w:r>
              <w:rPr>
                <w:sz w:val="12"/>
              </w:rPr>
              <w:t>marginal_contact_benefit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funding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Capitation is core general practice funding; ACC pays activity/contract/regulation-based injury treatment.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0.10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public architecture + modelling judgement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0.65</w:t>
            </w:r>
          </w:p>
        </w:tc>
      </w:tr>
      <w:tr>
        <w:tc>
          <w:tcPr>
            <w:tcW w:type="dxa" w:w="1752"/>
          </w:tcPr>
          <w:p>
            <w:r>
              <w:rPr>
                <w:sz w:val="12"/>
              </w:rPr>
              <w:t>capitation_weighting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funding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Formula introduced in 2002; new approach expected from 1 July 2026.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0.35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public fact + modelling judgement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0.80</w:t>
            </w:r>
          </w:p>
        </w:tc>
      </w:tr>
      <w:tr>
        <w:tc>
          <w:tcPr>
            <w:tcW w:type="dxa" w:w="1752"/>
          </w:tcPr>
          <w:p>
            <w:r>
              <w:rPr>
                <w:sz w:val="12"/>
              </w:rPr>
              <w:t>scope_flexibility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workforce/scope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ACC contributes to consultation rates and procedures for GPs, nurses and nurse practitioners.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0.35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public architecture + modelling judgement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0.55</w:t>
            </w:r>
          </w:p>
        </w:tc>
      </w:tr>
      <w:tr>
        <w:tc>
          <w:tcPr>
            <w:tcW w:type="dxa" w:w="1752"/>
          </w:tcPr>
          <w:p>
            <w:r>
              <w:rPr>
                <w:sz w:val="12"/>
              </w:rPr>
              <w:t>pho_transaction_cost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administration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Primary care data governance and SLM processes involve PHOs; closed-books availability is reported as a primary care indicator.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0.60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public architecture + hypothesis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0.45</w:t>
            </w:r>
          </w:p>
        </w:tc>
      </w:tr>
      <w:tr>
        <w:tc>
          <w:tcPr>
            <w:tcW w:type="dxa" w:w="1752"/>
          </w:tcPr>
          <w:p>
            <w:r>
              <w:rPr>
                <w:sz w:val="12"/>
              </w:rPr>
              <w:t>primary_kpi_salience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accountability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&gt;80% of people can access an appointment with a general practice provider within one week.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0.40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public fact + modelling judgement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0.80</w:t>
            </w:r>
          </w:p>
        </w:tc>
      </w:tr>
      <w:tr>
        <w:tc>
          <w:tcPr>
            <w:tcW w:type="dxa" w:w="1752"/>
          </w:tcPr>
          <w:p>
            <w:r>
              <w:rPr>
                <w:sz w:val="12"/>
              </w:rPr>
              <w:t>ambulance_kpi_salience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accountability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Monthly reports show response time KPIs, demand, quality of service and call type.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0.45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public fact + modelling judgement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0.75</w:t>
            </w:r>
          </w:p>
        </w:tc>
      </w:tr>
      <w:tr>
        <w:tc>
          <w:tcPr>
            <w:tcW w:type="dxa" w:w="1752"/>
          </w:tcPr>
          <w:p>
            <w:r>
              <w:rPr>
                <w:sz w:val="12"/>
              </w:rPr>
              <w:t>hospital_political_penalty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political economy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Health NZ plans and commissions hospital, primary and community services.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0.90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strategic modelling hypothesis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0.45</w:t>
            </w:r>
          </w:p>
        </w:tc>
      </w:tr>
      <w:tr>
        <w:tc>
          <w:tcPr>
            <w:tcW w:type="dxa" w:w="1752"/>
          </w:tcPr>
          <w:p>
            <w:r>
              <w:rPr>
                <w:sz w:val="12"/>
              </w:rPr>
              <w:t>data_observability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data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Participating practices share encounter and appointment data from April 2026; first focus is the seven-day access target.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0.45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public fact + modelling judgement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0.85</w:t>
            </w:r>
          </w:p>
        </w:tc>
      </w:tr>
      <w:tr>
        <w:tc>
          <w:tcPr>
            <w:tcW w:type="dxa" w:w="1752"/>
          </w:tcPr>
          <w:p>
            <w:r>
              <w:rPr>
                <w:sz w:val="12"/>
              </w:rPr>
              <w:t>copayment_level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consumer price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Adults cost barrier 14.9%; Pacific adults 25.1%; Māori adults 18.7%.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0.60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public empirical input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0.85</w:t>
            </w:r>
          </w:p>
        </w:tc>
      </w:tr>
      <w:tr>
        <w:tc>
          <w:tcPr>
            <w:tcW w:type="dxa" w:w="1752"/>
          </w:tcPr>
          <w:p>
            <w:r>
              <w:rPr>
                <w:sz w:val="12"/>
              </w:rPr>
              <w:t>copayment_protections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consumer price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Cost barrier persisted at 14.9% nationally; Pacific 25.1%, Māori 18.7%; disabled adults had more access barriers.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0.45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public empirical input + modelling judgement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0.70</w:t>
            </w:r>
          </w:p>
        </w:tc>
      </w:tr>
      <w:tr>
        <w:tc>
          <w:tcPr>
            <w:tcW w:type="dxa" w:w="1752"/>
          </w:tcPr>
          <w:p>
            <w:r>
              <w:rPr>
                <w:sz w:val="12"/>
              </w:rPr>
              <w:t>equity_program_strength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equity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Pacific adults had highest GP cost barrier; disabled adults had more barriers including owing money, transport and support person.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0.60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public empirical input + modelling judgement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0.60</w:t>
            </w:r>
          </w:p>
        </w:tc>
      </w:tr>
      <w:tr>
        <w:tc>
          <w:tcPr>
            <w:tcW w:type="dxa" w:w="1752"/>
          </w:tcPr>
          <w:p>
            <w:r>
              <w:rPr>
                <w:sz w:val="12"/>
              </w:rPr>
              <w:t>telehealth_scale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digital access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Online GP Care is mentioned as a performance-reporting example; exact volumes not yet in public calibration pack.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0.65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public architecture + modelling judgement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0.40</w:t>
            </w:r>
          </w:p>
        </w:tc>
      </w:tr>
      <w:tr>
        <w:tc>
          <w:tcPr>
            <w:tcW w:type="dxa" w:w="1752"/>
          </w:tcPr>
          <w:p>
            <w:r>
              <w:rPr>
                <w:sz w:val="12"/>
              </w:rPr>
              <w:t>telehealth_integration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digital access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Shared Digital Health Record and NPCD are being developed; participation and data processes are evolving.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0.45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public architecture + modelling judgement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0.55</w:t>
            </w:r>
          </w:p>
        </w:tc>
      </w:tr>
      <w:tr>
        <w:tc>
          <w:tcPr>
            <w:tcW w:type="dxa" w:w="1752"/>
          </w:tcPr>
          <w:p>
            <w:r>
              <w:rPr>
                <w:sz w:val="12"/>
              </w:rPr>
              <w:t>local_inperson_loading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rural/local supply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25.5% of adults reported appointment wait time as a barrier.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0.25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public empirical input + modelling judgement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0.60</w:t>
            </w:r>
          </w:p>
        </w:tc>
      </w:tr>
      <w:tr>
        <w:tc>
          <w:tcPr>
            <w:tcW w:type="dxa" w:w="1752"/>
          </w:tcPr>
          <w:p>
            <w:r>
              <w:rPr>
                <w:sz w:val="12"/>
              </w:rPr>
              <w:t>ambulance_alternative_funding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ambulance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Emergency ambulance services are commissioned on behalf of Health NZ and ACC; medical and injury funding split.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0.35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public architecture + modelling judgement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0.65</w:t>
            </w:r>
          </w:p>
        </w:tc>
      </w:tr>
      <w:tr>
        <w:tc>
          <w:tcPr>
            <w:tcW w:type="dxa" w:w="1752"/>
          </w:tcPr>
          <w:p>
            <w:r>
              <w:rPr>
                <w:sz w:val="12"/>
              </w:rPr>
              <w:t>acc_activity_funding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ACC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ACC contributes to consultation rates and specific treatment/procedure costs for GPs, nurses and nurse practitioners.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0.70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public architecture + hypothesis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0.55</w:t>
            </w:r>
          </w:p>
        </w:tc>
      </w:tr>
      <w:tr>
        <w:tc>
          <w:tcPr>
            <w:tcW w:type="dxa" w:w="1752"/>
          </w:tcPr>
          <w:p>
            <w:r>
              <w:rPr>
                <w:sz w:val="12"/>
              </w:rPr>
              <w:t>acc_constraint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ACC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How ACC pays depends on service type and whether provider works under regulations, contract or purchase order.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0.10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public architecture + modelling hypothesis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0.45</w:t>
            </w:r>
          </w:p>
        </w:tc>
      </w:tr>
      <w:tr>
        <w:tc>
          <w:tcPr>
            <w:tcW w:type="dxa" w:w="1752"/>
          </w:tcPr>
          <w:p>
            <w:r>
              <w:rPr>
                <w:sz w:val="12"/>
              </w:rPr>
              <w:t>budget_tightness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fiscal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Health NZ is responsible for planning and commissioning hospital, primary and community health services.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0.85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strategic modelling hypothesis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0.50</w:t>
            </w:r>
          </w:p>
        </w:tc>
      </w:tr>
      <w:tr>
        <w:tc>
          <w:tcPr>
            <w:tcW w:type="dxa" w:w="1752"/>
          </w:tcPr>
          <w:p>
            <w:r>
              <w:rPr>
                <w:sz w:val="12"/>
              </w:rPr>
              <w:t>safety_governance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governance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ACC payment conditions include appropriate qualifications, current practising certificate, quality and documentation.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0.75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public architecture + modelling judgement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0.70</w:t>
            </w:r>
          </w:p>
        </w:tc>
      </w:tr>
      <w:tr>
        <w:tc>
          <w:tcPr>
            <w:tcW w:type="dxa" w:w="1752"/>
          </w:tcPr>
          <w:p>
            <w:r>
              <w:rPr>
                <w:sz w:val="12"/>
              </w:rPr>
              <w:t>gaming_controls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governance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Advisory/governance groups will advise target definition, implementation and balancing measures.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0.60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public architecture + modelling judgement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0.65</w:t>
            </w:r>
          </w:p>
        </w:tc>
      </w:tr>
      <w:tr>
        <w:tc>
          <w:tcPr>
            <w:tcW w:type="dxa" w:w="1752"/>
          </w:tcPr>
          <w:p>
            <w:r>
              <w:rPr>
                <w:sz w:val="12"/>
              </w:rPr>
              <w:t>direct_claiming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payment platform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Capitation is not paid directly to patients; PHO/governance structures remain central to data/funding arrangements.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0.05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public architecture + policy option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0.60</w:t>
            </w:r>
          </w:p>
        </w:tc>
      </w:tr>
      <w:tr>
        <w:tc>
          <w:tcPr>
            <w:tcW w:type="dxa" w:w="1752"/>
          </w:tcPr>
          <w:p>
            <w:r>
              <w:rPr>
                <w:sz w:val="12"/>
              </w:rPr>
              <w:t>stakeholder_alignment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political economy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Not yet measured.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0.35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unvalidated judgement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0.25</w:t>
            </w:r>
          </w:p>
        </w:tc>
      </w:tr>
      <w:tr>
        <w:tc>
          <w:tcPr>
            <w:tcW w:type="dxa" w:w="1752"/>
          </w:tcPr>
          <w:p>
            <w:r>
              <w:rPr>
                <w:sz w:val="12"/>
              </w:rPr>
              <w:t>narrative_coherence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political economy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Not yet measured.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0.30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unvalidated judgement</w:t>
            </w:r>
          </w:p>
        </w:tc>
        <w:tc>
          <w:tcPr>
            <w:tcW w:type="dxa" w:w="1752"/>
          </w:tcPr>
          <w:p>
            <w:r>
              <w:rPr>
                <w:sz w:val="12"/>
              </w:rPr>
              <w:t>0.25</w:t>
            </w:r>
          </w:p>
        </w:tc>
      </w:tr>
    </w:tbl>
    <w:p>
      <w:pPr>
        <w:pStyle w:val="Heading1"/>
      </w:pPr>
      <w:r>
        <w:t>8. Limitations and next data inputs</w:t>
      </w:r>
    </w:p>
    <w:p>
      <w:r>
        <w:t>This run is source-informed and auditable, but not empirically calibrated. The priority next inputs are full capitation/payment rules, provider-level payment flows, NPCD appointment data, ambulance disposition data, ED/hospital linkage, workforce/provider-scope data, practice fees and stakeholder MCDA scoring.</w:t>
      </w:r>
    </w:p>
    <w:p>
      <w:pPr>
        <w:pStyle w:val="Heading1"/>
      </w:pPr>
      <w:r>
        <w:t>9. Source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D9EAF7"/>
          </w:tcPr>
          <w:p>
            <w:r>
              <w:rPr>
                <w:b/>
              </w:rPr>
              <w:t>source name</w:t>
            </w:r>
          </w:p>
        </w:tc>
        <w:tc>
          <w:tcPr>
            <w:tcW w:type="dxa" w:w="3504"/>
            <w:shd w:fill="D9EAF7"/>
          </w:tcPr>
          <w:p>
            <w:r>
              <w:rPr>
                <w:b/>
              </w:rPr>
              <w:t>source url</w:t>
            </w:r>
          </w:p>
        </w:tc>
        <w:tc>
          <w:tcPr>
            <w:tcW w:type="dxa" w:w="3504"/>
            <w:shd w:fill="D9EAF7"/>
          </w:tcPr>
          <w:p>
            <w:r>
              <w:rPr>
                <w:b/>
              </w:rPr>
              <w:t>parameter</w:t>
            </w:r>
          </w:p>
        </w:tc>
      </w:tr>
      <w:tr>
        <w:tc>
          <w:tcPr>
            <w:tcW w:type="dxa" w:w="3504"/>
          </w:tcPr>
          <w:p>
            <w:r>
              <w:rPr>
                <w:sz w:val="12"/>
              </w:rPr>
              <w:t>Ministry of Health capitation reweighting page and ACC provider payment page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https://www.health.govt.nz/strategies-initiatives/programmes-and-initiatives/primary-and-community-health-care/capitation-reweighting | https://www.acc.co.nz/for-providers/invoicing-us/paying-patient-treatment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marginal_contact_benefit</w:t>
            </w:r>
          </w:p>
        </w:tc>
      </w:tr>
      <w:tr>
        <w:tc>
          <w:tcPr>
            <w:tcW w:type="dxa" w:w="3504"/>
          </w:tcPr>
          <w:p>
            <w:r>
              <w:rPr>
                <w:sz w:val="12"/>
              </w:rPr>
              <w:t>Ministry of Health capitation reweighting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https://www.health.govt.nz/strategies-initiatives/programmes-and-initiatives/primary-and-community-health-care/capitation-reweighting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capitation_weighting</w:t>
            </w:r>
          </w:p>
        </w:tc>
      </w:tr>
      <w:tr>
        <w:tc>
          <w:tcPr>
            <w:tcW w:type="dxa" w:w="3504"/>
          </w:tcPr>
          <w:p>
            <w:r>
              <w:rPr>
                <w:sz w:val="12"/>
              </w:rPr>
              <w:t>ACC paying providers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https://www.acc.co.nz/for-providers/invoicing-us/paying-patient-treatment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scope_flexibility</w:t>
            </w:r>
          </w:p>
        </w:tc>
      </w:tr>
      <w:tr>
        <w:tc>
          <w:tcPr>
            <w:tcW w:type="dxa" w:w="3504"/>
          </w:tcPr>
          <w:p>
            <w:r>
              <w:rPr>
                <w:sz w:val="12"/>
              </w:rPr>
              <w:t>Health NZ primary care health data; prior PHO review artefacts in repo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https://www.healthnz.govt.nz/about-us/health-data/data-sets-and-collections/primary-care-data-and-statistics/primary-care-health-data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pho_transaction_cost</w:t>
            </w:r>
          </w:p>
        </w:tc>
      </w:tr>
      <w:tr>
        <w:tc>
          <w:tcPr>
            <w:tcW w:type="dxa" w:w="3504"/>
          </w:tcPr>
          <w:p>
            <w:r>
              <w:rPr>
                <w:sz w:val="12"/>
              </w:rPr>
              <w:t>Ministry of Health primary care health target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https://www.health.govt.nz/strategies-initiatives/programmes-and-initiatives/primary-and-community-health-care/primary-care-health-target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primary_kpi_salience</w:t>
            </w:r>
          </w:p>
        </w:tc>
      </w:tr>
      <w:tr>
        <w:tc>
          <w:tcPr>
            <w:tcW w:type="dxa" w:w="3504"/>
          </w:tcPr>
          <w:p>
            <w:r>
              <w:rPr>
                <w:sz w:val="12"/>
              </w:rPr>
              <w:t>Health NZ Ambulance Team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https://www.healthnz.govt.nz/about-us/what-we-do/programmes-and-initiatives/the-ambulance-team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ambulance_kpi_salience</w:t>
            </w:r>
          </w:p>
        </w:tc>
      </w:tr>
      <w:tr>
        <w:tc>
          <w:tcPr>
            <w:tcW w:type="dxa" w:w="3504"/>
          </w:tcPr>
          <w:p>
            <w:r>
              <w:rPr>
                <w:sz w:val="12"/>
              </w:rPr>
              <w:t>Ministry of Health Crown entities page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https://www.health.govt.nz/about-us/new-zealands-health-system/health-system-roles-and-organisations/health-crown-entities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hospital_political_penalty</w:t>
            </w:r>
          </w:p>
        </w:tc>
      </w:tr>
      <w:tr>
        <w:tc>
          <w:tcPr>
            <w:tcW w:type="dxa" w:w="3504"/>
          </w:tcPr>
          <w:p>
            <w:r>
              <w:rPr>
                <w:sz w:val="12"/>
              </w:rPr>
              <w:t>Health NZ National Primary Care Dataset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https://www.healthnz.govt.nz/about-us/what-we-do/planning-and-performance/primary-care-tactical-action-plan/national-primary-care-dataset-and-new-primary-care-health-target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data_observability</w:t>
            </w:r>
          </w:p>
        </w:tc>
      </w:tr>
      <w:tr>
        <w:tc>
          <w:tcPr>
            <w:tcW w:type="dxa" w:w="3504"/>
          </w:tcPr>
          <w:p>
            <w:r>
              <w:rPr>
                <w:sz w:val="12"/>
              </w:rPr>
              <w:t>NZ Health Survey 2024/25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https://www.health.govt.nz/publications/annual-update-of-key-results-202425-new-zealand-health-survey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copayment_level</w:t>
            </w:r>
          </w:p>
        </w:tc>
      </w:tr>
      <w:tr>
        <w:tc>
          <w:tcPr>
            <w:tcW w:type="dxa" w:w="3504"/>
          </w:tcPr>
          <w:p>
            <w:r>
              <w:rPr>
                <w:sz w:val="12"/>
              </w:rPr>
              <w:t>NZ Health Survey 2024/25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https://www.health.govt.nz/publications/annual-update-of-key-results-202425-new-zealand-health-survey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copayment_protections</w:t>
            </w:r>
          </w:p>
        </w:tc>
      </w:tr>
      <w:tr>
        <w:tc>
          <w:tcPr>
            <w:tcW w:type="dxa" w:w="3504"/>
          </w:tcPr>
          <w:p>
            <w:r>
              <w:rPr>
                <w:sz w:val="12"/>
              </w:rPr>
              <w:t>NZ Health Survey 2024/25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https://www.health.govt.nz/publications/annual-update-of-key-results-202425-new-zealand-health-survey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equity_program_strength</w:t>
            </w:r>
          </w:p>
        </w:tc>
      </w:tr>
      <w:tr>
        <w:tc>
          <w:tcPr>
            <w:tcW w:type="dxa" w:w="3504"/>
          </w:tcPr>
          <w:p>
            <w:r>
              <w:rPr>
                <w:sz w:val="12"/>
              </w:rPr>
              <w:t>Health NZ service pathways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https://www.healthnz.govt.nz/about-us/health-data/data-sets-and-collections/primary-care-data-and-statistics/primary-care-health-data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telehealth_scale</w:t>
            </w:r>
          </w:p>
        </w:tc>
      </w:tr>
      <w:tr>
        <w:tc>
          <w:tcPr>
            <w:tcW w:type="dxa" w:w="3504"/>
          </w:tcPr>
          <w:p>
            <w:r>
              <w:rPr>
                <w:sz w:val="12"/>
              </w:rPr>
              <w:t>Health NZ primary care health data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https://www.healthnz.govt.nz/about-us/health-data/data-sets-and-collections/primary-care-data-and-statistics/primary-care-health-data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telehealth_integration</w:t>
            </w:r>
          </w:p>
        </w:tc>
      </w:tr>
      <w:tr>
        <w:tc>
          <w:tcPr>
            <w:tcW w:type="dxa" w:w="3504"/>
          </w:tcPr>
          <w:p>
            <w:r>
              <w:rPr>
                <w:sz w:val="12"/>
              </w:rPr>
              <w:t>NZ Health Survey 2024/25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https://www.health.govt.nz/publications/annual-update-of-key-results-202425-new-zealand-health-survey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local_inperson_loading</w:t>
            </w:r>
          </w:p>
        </w:tc>
      </w:tr>
      <w:tr>
        <w:tc>
          <w:tcPr>
            <w:tcW w:type="dxa" w:w="3504"/>
          </w:tcPr>
          <w:p>
            <w:r>
              <w:rPr>
                <w:sz w:val="12"/>
              </w:rPr>
              <w:t>Health NZ Ambulance Team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https://www.healthnz.govt.nz/about-us/what-we-do/programmes-and-initiatives/the-ambulance-team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ambulance_alternative_funding</w:t>
            </w:r>
          </w:p>
        </w:tc>
      </w:tr>
      <w:tr>
        <w:tc>
          <w:tcPr>
            <w:tcW w:type="dxa" w:w="3504"/>
          </w:tcPr>
          <w:p>
            <w:r>
              <w:rPr>
                <w:sz w:val="12"/>
              </w:rPr>
              <w:t>ACC paying providers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https://www.acc.co.nz/for-providers/invoicing-us/paying-patient-treatment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acc_activity_funding</w:t>
            </w:r>
          </w:p>
        </w:tc>
      </w:tr>
      <w:tr>
        <w:tc>
          <w:tcPr>
            <w:tcW w:type="dxa" w:w="3504"/>
          </w:tcPr>
          <w:p>
            <w:r>
              <w:rPr>
                <w:sz w:val="12"/>
              </w:rPr>
              <w:t>ACC paying providers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https://www.acc.co.nz/for-providers/invoicing-us/paying-patient-treatment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acc_constraint</w:t>
            </w:r>
          </w:p>
        </w:tc>
      </w:tr>
      <w:tr>
        <w:tc>
          <w:tcPr>
            <w:tcW w:type="dxa" w:w="3504"/>
          </w:tcPr>
          <w:p>
            <w:r>
              <w:rPr>
                <w:sz w:val="12"/>
              </w:rPr>
              <w:t>Ministry of Health Crown entities page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https://www.health.govt.nz/about-us/new-zealands-health-system/health-system-roles-and-organisations/health-crown-entities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budget_tightness</w:t>
            </w:r>
          </w:p>
        </w:tc>
      </w:tr>
      <w:tr>
        <w:tc>
          <w:tcPr>
            <w:tcW w:type="dxa" w:w="3504"/>
          </w:tcPr>
          <w:p>
            <w:r>
              <w:rPr>
                <w:sz w:val="12"/>
              </w:rPr>
              <w:t>ACC paying providers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https://www.acc.co.nz/for-providers/invoicing-us/paying-patient-treatment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safety_governance</w:t>
            </w:r>
          </w:p>
        </w:tc>
      </w:tr>
      <w:tr>
        <w:tc>
          <w:tcPr>
            <w:tcW w:type="dxa" w:w="3504"/>
          </w:tcPr>
          <w:p>
            <w:r>
              <w:rPr>
                <w:sz w:val="12"/>
              </w:rPr>
              <w:t>Health NZ primary care health data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https://www.healthnz.govt.nz/about-us/health-data/data-sets-and-collections/primary-care-data-and-statistics/primary-care-health-data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gaming_controls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