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Stakeholder game-validation and MCDA workshop pack</w:t>
      </w:r>
    </w:p>
    <w:p>
      <w:pPr>
        <w:jc w:val="center"/>
      </w:pPr>
      <w:r>
        <w:rPr>
          <w:i/>
        </w:rPr>
        <w:t>v1.1.0 - 8 May 2026</w:t>
      </w:r>
    </w:p>
    <w:p>
      <w:r>
        <w:t>Purpose: test whether the mapped policy games are real, important, tractable and risky; then compare policy options with explicit criteria and weights.</w:t>
      </w:r>
    </w:p>
    <w:p>
      <w:pPr>
        <w:pStyle w:val="Heading1"/>
      </w:pPr>
      <w:r>
        <w:t>1. Pre-work for participants</w:t>
      </w:r>
    </w:p>
    <w:p>
      <w:pPr>
        <w:pStyle w:val="ListBullet"/>
      </w:pPr>
      <w:r>
        <w:t>Read the one-page summary of the 14 games.</w:t>
      </w:r>
    </w:p>
    <w:p>
      <w:pPr>
        <w:pStyle w:val="ListBullet"/>
      </w:pPr>
      <w:r>
        <w:t>Bring one example from your own work where upstream access, funding rules or accountability affected patient flow.</w:t>
      </w:r>
    </w:p>
    <w:p>
      <w:pPr>
        <w:pStyle w:val="ListBullet"/>
      </w:pPr>
      <w:r>
        <w:t>Be prepared to score both mechanisms and policy options. Disagreement is useful and expected.</w:t>
      </w:r>
    </w:p>
    <w:p>
      <w:pPr>
        <w:pStyle w:val="Heading1"/>
      </w:pPr>
      <w:r>
        <w:t>2.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vAlign w:val="top"/>
            <w:shd w:fill="1F4E79"/>
          </w:tcPr>
          <w:p>
            <w:r>
              <w:rPr>
                <w:b/>
                <w:sz w:val="17"/>
              </w:rPr>
              <w:t>Time</w:t>
            </w:r>
          </w:p>
        </w:tc>
        <w:tc>
          <w:tcPr>
            <w:tcW w:type="dxa" w:w="3504"/>
            <w:vAlign w:val="top"/>
            <w:shd w:fill="1F4E79"/>
          </w:tcPr>
          <w:p>
            <w:r>
              <w:rPr>
                <w:b/>
                <w:sz w:val="17"/>
              </w:rPr>
              <w:t>Item</w:t>
            </w:r>
          </w:p>
        </w:tc>
        <w:tc>
          <w:tcPr>
            <w:tcW w:type="dxa" w:w="3504"/>
            <w:vAlign w:val="top"/>
            <w:shd w:fill="1F4E79"/>
          </w:tcPr>
          <w:p>
            <w:r>
              <w:rPr>
                <w:b/>
                <w:sz w:val="17"/>
              </w:rPr>
              <w:t>Output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7"/>
              </w:rPr>
              <w:t>0:00-0:15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Context and caveats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Shared understanding that this is validation, not predictive proof.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7"/>
              </w:rPr>
              <w:t>0:15-0:45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Game-position scoring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Scores for 14 games.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7"/>
              </w:rPr>
              <w:t>0:45-1:10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Breakout discussion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Objections, missing games and evidence needs.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7"/>
              </w:rPr>
              <w:t>1:10-1:45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Policy-option MCDA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Scored policy options under common criteria.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7"/>
              </w:rPr>
              <w:t>1:45-2:00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Priority assumptions and next steps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Top empirical checks and pilot priorities.</w:t>
            </w:r>
          </w:p>
        </w:tc>
      </w:tr>
    </w:tbl>
    <w:p>
      <w:pPr>
        <w:pStyle w:val="Heading1"/>
      </w:pPr>
      <w:r>
        <w:t>3. Game validation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</w:trPr>
        <w:tc>
          <w:tcPr>
            <w:tcW w:type="dxa" w:w="1502"/>
            <w:vAlign w:val="top"/>
            <w:shd w:fill="1F4E79"/>
          </w:tcPr>
          <w:p>
            <w:r>
              <w:rPr>
                <w:b/>
                <w:sz w:val="17"/>
              </w:rPr>
              <w:t>game_id</w:t>
            </w:r>
          </w:p>
        </w:tc>
        <w:tc>
          <w:tcPr>
            <w:tcW w:type="dxa" w:w="1502"/>
            <w:vAlign w:val="top"/>
            <w:shd w:fill="1F4E79"/>
          </w:tcPr>
          <w:p>
            <w:r>
              <w:rPr>
                <w:b/>
                <w:sz w:val="17"/>
              </w:rPr>
              <w:t>game_name</w:t>
            </w:r>
          </w:p>
        </w:tc>
        <w:tc>
          <w:tcPr>
            <w:tcW w:type="dxa" w:w="1502"/>
            <w:vAlign w:val="top"/>
            <w:shd w:fill="1F4E79"/>
          </w:tcPr>
          <w:p>
            <w:r>
              <w:rPr>
                <w:b/>
                <w:sz w:val="17"/>
              </w:rPr>
              <w:t>mechanism_to_validate</w:t>
            </w:r>
          </w:p>
        </w:tc>
        <w:tc>
          <w:tcPr>
            <w:tcW w:type="dxa" w:w="1502"/>
            <w:vAlign w:val="top"/>
            <w:shd w:fill="1F4E79"/>
          </w:tcPr>
          <w:p>
            <w:r>
              <w:rPr>
                <w:b/>
                <w:sz w:val="17"/>
              </w:rPr>
              <w:t>is_this_game_real_1_5</w:t>
            </w:r>
          </w:p>
        </w:tc>
        <w:tc>
          <w:tcPr>
            <w:tcW w:type="dxa" w:w="1502"/>
            <w:vAlign w:val="top"/>
            <w:shd w:fill="1F4E79"/>
          </w:tcPr>
          <w:p>
            <w:r>
              <w:rPr>
                <w:b/>
                <w:sz w:val="17"/>
              </w:rPr>
              <w:t>harm_if_unresolved_1_5</w:t>
            </w:r>
          </w:p>
        </w:tc>
        <w:tc>
          <w:tcPr>
            <w:tcW w:type="dxa" w:w="1502"/>
            <w:vAlign w:val="top"/>
            <w:shd w:fill="1F4E79"/>
          </w:tcPr>
          <w:p>
            <w:r>
              <w:rPr>
                <w:b/>
                <w:sz w:val="17"/>
              </w:rPr>
              <w:t>hospital_growth_contribution_1_5</w:t>
            </w:r>
          </w:p>
        </w:tc>
        <w:tc>
          <w:tcPr>
            <w:tcW w:type="dxa" w:w="1502"/>
            <w:vAlign w:val="top"/>
            <w:shd w:fill="1F4E79"/>
          </w:tcPr>
          <w:p>
            <w:r>
              <w:rPr>
                <w:b/>
                <w:sz w:val="17"/>
              </w:rPr>
              <w:t>confidence_1_5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7"/>
              </w:rPr>
              <w:t>G1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Hospital-salience budget game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Hospital demand is visible, urgent and politically costly; upstream access failure is dispersed and delayed.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7"/>
              </w:rPr>
              <w:t>G2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Health NZ internal allocation game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A single entity commissions hospital, primary and community services, but hospital operational risk is more immediate.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Capitation marginal-supply game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Capitation supports continuity but weakly funds additional clinically necessary contacts.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7"/>
              </w:rPr>
              <w:t>G4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Consumer access pathway game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Patients choose among waiting, paying, delaying, telehealth, ambulance and 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7"/>
              </w:rPr>
              <w:t>G5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PHO intermediation game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PHOs may add population-health value but payment-gateway functions may add friction or opacity.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7"/>
              </w:rPr>
              <w:t>G6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ACC/Health NZ cross-funder game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ACC activity funding may stabilise primary care capacity and shift pressure across funders.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7"/>
              </w:rPr>
              <w:t>G7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Ambulance conveyance game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Ambulance may default to ED conveyance unless safe alternatives are funded and accountable.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7"/>
              </w:rPr>
              <w:t>G8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Scope-of-practice supply game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Funding eligibility may be narrower than safe clinical scope, creating artificial professional bottlenecks.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7"/>
              </w:rPr>
              <w:t>G9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Telehealth/local-supply game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Telehealth extends access but may weaken local in-person supply if not integrated.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7"/>
              </w:rPr>
              <w:t>G10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Co-payment calibration game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Co-payments can signal demand but can deter necessary care and worsen equity.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7"/>
              </w:rPr>
              <w:t>G11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KPI salience game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What is elevated to top-tier reporting gets managed; upstream failures may otherwise remain residual.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7"/>
              </w:rPr>
              <w:t>G12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Equity and trust game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Direct benefits can expand access but do not replace trust, outreach, kaupapa Maori/Pacific functions.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7"/>
              </w:rPr>
              <w:t>G13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Political economy game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Reform can be framed as pro-market, anti-PHO, anti-GP, pro-patient or anti-equity.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7"/>
              </w:rPr>
              <w:t>G14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Data observability game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  <w:t>Hidden unmet need remains less fundable if it is not measured and linked to downstream outcomes.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  <w:tc>
          <w:tcPr>
            <w:tcW w:type="dxa" w:w="1502"/>
            <w:vAlign w:val="top"/>
          </w:tcPr>
          <w:p>
            <w:r>
              <w:rPr>
                <w:sz w:val="17"/>
              </w:rPr>
            </w:r>
          </w:p>
        </w:tc>
      </w:tr>
    </w:tbl>
    <w:p>
      <w:pPr>
        <w:pStyle w:val="Heading1"/>
      </w:pPr>
      <w:r>
        <w:t>4. MCDA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vAlign w:val="top"/>
            <w:shd w:fill="1F4E79"/>
          </w:tcPr>
          <w:p>
            <w:r>
              <w:rPr>
                <w:b/>
                <w:sz w:val="17"/>
              </w:rPr>
              <w:t>criterion_id</w:t>
            </w:r>
          </w:p>
        </w:tc>
        <w:tc>
          <w:tcPr>
            <w:tcW w:type="dxa" w:w="3504"/>
            <w:vAlign w:val="top"/>
            <w:shd w:fill="1F4E79"/>
          </w:tcPr>
          <w:p>
            <w:r>
              <w:rPr>
                <w:b/>
                <w:sz w:val="17"/>
              </w:rPr>
              <w:t>criterion_name</w:t>
            </w:r>
          </w:p>
        </w:tc>
        <w:tc>
          <w:tcPr>
            <w:tcW w:type="dxa" w:w="3504"/>
            <w:vAlign w:val="top"/>
            <w:shd w:fill="1F4E79"/>
          </w:tcPr>
          <w:p>
            <w:r>
              <w:rPr>
                <w:b/>
                <w:sz w:val="17"/>
              </w:rPr>
              <w:t>criterion_description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7"/>
              </w:rPr>
              <w:t>C1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Access and supply generation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Does the option increase safe upstream capacity?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7"/>
              </w:rPr>
              <w:t>C2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Hospital deflection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Does it reduce avoidable ED, ambulance and hospital flow?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7"/>
              </w:rPr>
              <w:t>C3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Equity and Te Tiriti legitimacy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Does access improve without worsening inequity?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7"/>
              </w:rPr>
              <w:t>C4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Rural and in-person resilience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Does it protect local care, not just telehealth?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7"/>
              </w:rPr>
              <w:t>C5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Fiscal sustainability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Is the model affordable and controllable?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7"/>
              </w:rPr>
              <w:t>C6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Gaming and low-value activity risk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Does it avoid opportunistic or low-value activity?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7"/>
              </w:rPr>
              <w:t>C7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Administrative simplicity and market entry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Does it lower transaction costs and entry barriers?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7"/>
              </w:rPr>
              <w:t>C8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Governance and clinical safety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Are scope, prescribing, audit and safety controls strong?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7"/>
              </w:rPr>
              <w:t>C9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Political feasibility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Can the option survive contestation?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7"/>
              </w:rPr>
              <w:t>C10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Data and accountability readiness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7"/>
              </w:rPr>
              <w:t>Can outcomes be measured and managed?</w:t>
            </w:r>
          </w:p>
        </w:tc>
      </w:tr>
    </w:tbl>
    <w:p>
      <w:pPr>
        <w:pStyle w:val="Heading1"/>
      </w:pPr>
      <w:r>
        <w:t>5. Scoring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top"/>
            <w:shd w:fill="1F4E79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5256"/>
            <w:vAlign w:val="top"/>
            <w:shd w:fill="1F4E79"/>
          </w:tcPr>
          <w:p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7"/>
              </w:rPr>
              <w:t>-2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7"/>
              </w:rPr>
              <w:t>Substantially worsens criterion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7"/>
              </w:rPr>
              <w:t>-1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7"/>
              </w:rPr>
              <w:t>Slightly worsens criterion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7"/>
              </w:rPr>
              <w:t>No meaningful change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7"/>
              </w:rPr>
              <w:t>+1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7"/>
              </w:rPr>
              <w:t>Slightly improves criterion</w:t>
            </w:r>
          </w:p>
        </w:tc>
      </w:tr>
      <w:tr>
        <w:tc>
          <w:tcPr>
            <w:tcW w:type="dxa" w:w="5256"/>
            <w:vAlign w:val="top"/>
          </w:tcPr>
          <w:p>
            <w:r>
              <w:rPr>
                <w:sz w:val="17"/>
              </w:rPr>
              <w:t>+2</w:t>
            </w:r>
          </w:p>
        </w:tc>
        <w:tc>
          <w:tcPr>
            <w:tcW w:type="dxa" w:w="5256"/>
            <w:vAlign w:val="top"/>
          </w:tcPr>
          <w:p>
            <w:r>
              <w:rPr>
                <w:sz w:val="17"/>
              </w:rPr>
              <w:t>Substantially improves criterion</w:t>
            </w:r>
          </w:p>
        </w:tc>
      </w:tr>
    </w:tbl>
    <w:p>
      <w:pPr>
        <w:pStyle w:val="Heading1"/>
      </w:pPr>
      <w:r>
        <w:t>6. Expected outputs</w:t>
      </w:r>
    </w:p>
    <w:p>
      <w:pPr>
        <w:pStyle w:val="ListBullet"/>
      </w:pPr>
      <w:r>
        <w:t>Group-level game scores and disagreement map.</w:t>
      </w:r>
    </w:p>
    <w:p>
      <w:pPr>
        <w:pStyle w:val="ListBullet"/>
      </w:pPr>
      <w:r>
        <w:t>Weighted and unweighted policy-option ranking.</w:t>
      </w:r>
    </w:p>
    <w:p>
      <w:pPr>
        <w:pStyle w:val="ListBullet"/>
      </w:pPr>
      <w:r>
        <w:t>List of assumptions requiring empirical testing.</w:t>
      </w:r>
    </w:p>
    <w:p>
      <w:pPr>
        <w:pStyle w:val="ListBullet"/>
      </w:pPr>
      <w:r>
        <w:t>Suggested pilot domains and implementation risks.</w:t>
      </w:r>
    </w:p>
    <w:p>
      <w:pPr>
        <w:pStyle w:val="ListBullet"/>
      </w:pPr>
      <w:r>
        <w:t>Revisions to the game map and policy brief.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Primary Care Funding Architecture v1.1.0 | stakeholder workshop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