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F7A19" w14:textId="77777777" w:rsidR="00D97FEA" w:rsidRPr="00D97FEA" w:rsidRDefault="00D97FEA" w:rsidP="00D97FEA">
      <w:pPr>
        <w:spacing w:after="0" w:line="240" w:lineRule="auto"/>
      </w:pPr>
      <w:r>
        <w:rPr>
          <w:rFonts w:ascii="Arial" w:hAnsi="Arial"/>
          <w:sz w:val="18"/>
        </w:rPr>
        <w:t>28 October 2026 | Evaluation plan v4 | Discussion draft — no expenditure approval</w:t>
      </w:r>
    </w:p>
    <w:sdt>
      <w:sdtPr>
        <w:rPr>
          <w:rStyle w:val="Heading1Char"/>
        </w:rPr>
        <w:id w:val="1606767437"/>
        <w:placeholder>
          <w:docPart w:val="760CECCA096D490A880790A2019FC004"/>
        </w:placeholder>
        <w:comboBox>
          <w:listItem w:displayText="&lt;select document type&gt;" w:value="&lt;select document type&gt;"/>
          <w:listItem w:displayText="Board Agenda Paper " w:value="Board Agenda Paper "/>
          <w:listItem w:displayText="ELC Agenda Paper" w:value="ELC Agenda Paper"/>
          <w:listItem w:displayText="Committee Agenda Item" w:value="Committee Agenda Item"/>
        </w:comboBox>
      </w:sdtPr>
      <w:sdtContent>
        <w:p w14:paraId="35FBFC4E" w14:textId="77777777" w:rsidR="00D97FEA" w:rsidRPr="00D97FEA" w:rsidRDefault="00D97FEA" w:rsidP="00D97FEA">
          <w:pPr>
            <w:spacing w:after="0" w:line="240" w:lineRule="auto"/>
            <w:contextualSpacing/>
            <w:rPr>
              <w:rStyle w:val="Heading1Char"/>
            </w:rPr>
          </w:pPr>
          <w:r w:rsidRPr="00D97FEA">
            <w:rPr>
              <w:rStyle w:val="Heading1Char"/>
            </w:rPr>
            <w:t>MEMORANDUM</w:t>
          </w:r>
        </w:p>
      </w:sdtContent>
    </w:sdt>
    <w:p w14:paraId="1F0B137B" w14:textId="77777777" w:rsidR="00D97FEA" w:rsidRPr="00D97FEA" w:rsidRDefault="00D97FEA" w:rsidP="00D97FEA">
      <w:pPr>
        <w:pStyle w:val="Heading2"/>
      </w:pPr>
      <w:r>
        <w:rPr>
          <w:rFonts w:ascii="Arial" w:hAnsi="Arial"/>
          <w:b/>
          <w:sz w:val="32"/>
        </w:rPr>
        <w:t>Panda Vision: evaluating investment in neonatal video support</w:t>
      </w:r>
    </w:p>
    <w:tbl>
      <w:tblPr>
        <w:tblStyle w:val="GridTable4-Accent61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D97FEA" w:rsidRPr="00D97FEA" w14:paraId="4F944B24" w14:textId="77777777" w:rsidTr="00D97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tcMar>
              <w:top w:w="108" w:type="dxa"/>
              <w:bottom w:w="108" w:type="dxa"/>
            </w:tcMar>
          </w:tcPr>
          <w:p w14:paraId="06F712AE" w14:textId="77777777" w:rsidR="00D97FEA" w:rsidRPr="00D97FEA" w:rsidRDefault="00D97FEA" w:rsidP="00D97FEA">
            <w:pPr>
              <w:keepNext/>
              <w:spacing w:after="60" w:line="240" w:lineRule="auto"/>
              <w:rPr>
                <w:sz w:val="18"/>
                <w:szCs w:val="18"/>
              </w:rPr>
            </w:pPr>
            <w:r w:rsidRPr="00D97FEA">
              <w:rPr>
                <w:rFonts w:ascii="Arial" w:hAnsi="Arial"/>
                <w:sz w:val="18"/>
                <w:szCs w:val="18"/>
              </w:rPr>
              <w:t>Action required</w:t>
            </w:r>
          </w:p>
        </w:tc>
      </w:tr>
      <w:tr w:rsidR="00D97FEA" w:rsidRPr="00D97FEA" w14:paraId="7B791F88" w14:textId="77777777" w:rsidTr="00D97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Proceed with an existing-evidence, model-based evaluation of the Atherton-led pilot and conditional Queensland expansion. Use the completed analyses to identify when investment is worthwhile; do not present modelled resource savings as observed cash savings. No prospective cohort, randomised trial or structured expert elicitation is a prerequisite.</w:t>
            </w:r>
          </w:p>
        </w:tc>
      </w:tr>
    </w:tbl>
    <w:p w14:paraId="70BB9612" w14:textId="77777777" w:rsidR="00D97FEA" w:rsidRPr="00D97FEA" w:rsidRDefault="00D97FEA" w:rsidP="00D97FEA">
      <w:pPr>
        <w:spacing w:after="0" w:line="240" w:lineRule="auto"/>
      </w:pPr>
    </w:p>
    <w:tbl>
      <w:tblPr>
        <w:tblStyle w:val="TableGridLight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628"/>
        <w:gridCol w:w="8566"/>
      </w:tblGrid>
      <w:tr w:rsidR="00D97FEA" w:rsidRPr="00D97FEA" w14:paraId="0D79D513" w14:textId="77777777" w:rsidTr="00D97FEA">
        <w:trPr>
          <w:trHeight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7791F81" w14:textId="77777777" w:rsidR="00D97FEA" w:rsidRPr="00D97FEA" w:rsidRDefault="00D97FEA" w:rsidP="00D97FEA">
            <w:pPr>
              <w:keepNext/>
              <w:spacing w:after="60" w:line="240" w:lineRule="auto"/>
              <w:jc w:val="right"/>
              <w:rPr>
                <w:b/>
                <w:sz w:val="18"/>
                <w:szCs w:val="18"/>
              </w:rPr>
            </w:pPr>
            <w:r w:rsidRPr="00D97FEA">
              <w:rPr>
                <w:rFonts w:ascii="Arial" w:hAnsi="Arial"/>
                <w:b/>
                <w:sz w:val="18"/>
                <w:szCs w:val="18"/>
              </w:rPr>
              <w:t>Author</w:t>
            </w:r>
          </w:p>
        </w:tc>
        <w:tc>
          <w:tcPr>
            <w:tcW w:w="8181" w:type="dxa"/>
            <w:vAlign w:val="center"/>
          </w:tcPr>
          <w:p>
            <w:pPr>
              <w:keepNext/>
              <w:spacing w:after="60" w:line="240" w:lineRule="auto"/>
            </w:pPr>
            <w:r>
              <w:rPr>
                <w:rFonts w:ascii="Arial" w:hAnsi="Arial"/>
                <w:sz w:val="18"/>
              </w:rPr>
              <w:t>Prepared for Dr Dylan Mordaunt, Chief Medical Officer</w:t>
            </w:r>
          </w:p>
        </w:tc>
      </w:tr>
      <w:tr w:rsidR="00D97FEA" w:rsidRPr="00D97FEA" w14:paraId="023E57CB" w14:textId="77777777" w:rsidTr="00D97FEA">
        <w:trPr>
          <w:trHeight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5EFFA91" w14:textId="77777777" w:rsidR="00D97FEA" w:rsidRPr="00D97FEA" w:rsidRDefault="00D97FEA" w:rsidP="00D97FEA">
            <w:pPr>
              <w:spacing w:after="60" w:line="240" w:lineRule="auto"/>
              <w:jc w:val="right"/>
              <w:rPr>
                <w:b/>
                <w:sz w:val="18"/>
                <w:szCs w:val="18"/>
              </w:rPr>
            </w:pPr>
            <w:r w:rsidRPr="00D97FEA">
              <w:rPr>
                <w:rFonts w:ascii="Arial" w:hAnsi="Arial"/>
                <w:b/>
                <w:sz w:val="18"/>
                <w:szCs w:val="18"/>
              </w:rPr>
              <w:t>Presented by</w:t>
            </w:r>
          </w:p>
        </w:tc>
        <w:tc>
          <w:tcPr>
            <w:tcW w:w="8181" w:type="dxa"/>
            <w:vAlign w:val="center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CMO / neonatal, retrieval, virtual-care and finance partners</w:t>
            </w:r>
          </w:p>
        </w:tc>
      </w:tr>
    </w:tbl>
    <w:p w14:paraId="2CBACA2F" w14:textId="77777777" w:rsidR="00D97FEA" w:rsidRPr="00D97FEA" w:rsidRDefault="00D97FEA" w:rsidP="00D97FEA">
      <w:pPr>
        <w:spacing w:after="0" w:line="240" w:lineRule="auto"/>
      </w:pPr>
    </w:p>
    <w:tbl>
      <w:tblPr>
        <w:tblStyle w:val="GridTable4-Accent61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D97FEA" w:rsidRPr="00D97FEA" w14:paraId="1E0A0A58" w14:textId="77777777" w:rsidTr="00D97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tcMar>
              <w:top w:w="108" w:type="dxa"/>
              <w:bottom w:w="108" w:type="dxa"/>
            </w:tcMar>
          </w:tcPr>
          <w:p w14:paraId="14EB32D6" w14:textId="77777777" w:rsidR="00D97FEA" w:rsidRPr="00D97FEA" w:rsidRDefault="00D97FEA" w:rsidP="00D97FEA">
            <w:pPr>
              <w:keepNext/>
              <w:spacing w:after="60" w:line="240" w:lineRule="auto"/>
              <w:rPr>
                <w:sz w:val="18"/>
                <w:szCs w:val="18"/>
              </w:rPr>
            </w:pPr>
            <w:r w:rsidRPr="00D97FEA">
              <w:rPr>
                <w:rFonts w:ascii="Arial" w:hAnsi="Arial"/>
                <w:sz w:val="18"/>
                <w:szCs w:val="18"/>
              </w:rPr>
              <w:t>Executive summary</w:t>
            </w:r>
          </w:p>
        </w:tc>
      </w:tr>
      <w:tr w:rsidR="00D97FEA" w:rsidRPr="00D97FEA" w14:paraId="2C58A047" w14:textId="77777777" w:rsidTr="00D97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top"/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1. Decision and comparator. Compare video-supported with telephone-supported specialist consultation: consultation occurs in both arms. The established RSQ/ANTS-NQ escalation pathway is retained. Assess continuation, equipment replacement and rollout from organisational, whole-health-system and societal perspectives. The pilot comprises Atherton, Mareeba and Innisfail; forecast activity is 10–15 consultations per site annually. The 4–5 Atherton episodes describe feasibility, not a causal effect or incidence rate. [ELC2026; USER2026]</w:t>
              <w:br/>
              <w:br/>
              <w:t>2. Existing evidence and assumptions. Use the ELC material, published comparative studies and economic models, public birth/network data, retrieval-cost reports and available routine information. Keep the $10,000 installation estimate marked for invoice/component verification. The 2022 denominators are Atherton 157, Mareeba 134 and Innisfail 195 births. A historical 65-site public roster supports a primary 33-site expansion scenario; it is not a verified 2026 service census. Assumed casemix, geography and uptake remain uncertain. [QH2022; ANZNN2023]</w:t>
              <w:br/>
              <w:br/>
              <w:t>3. Analytical design. Retain the small severity-stratified annual-cohort model. Include failed connections, local care, transfer and later rescue; critical cases receive no transfer-avoidance credit. Shared clinical-effect uncertainty remains correlated across sites. Separate resource costs, NWAU × NEP, QWAU × QEP and actual budgets. NEP26 is $7,418; unverified QEP/local adjustments remain blank. The indexed aeromedical anchor is not a neonatal tariff or guaranteed cash release. [NEP26; QHFUND26; AIR2019; M1]</w:t>
              <w:br/>
              <w:br/>
              <w:t>4. Analyses completed. Reproduced 58 primary deterministic scenarios and eight 20,000-draw probabilistic analyses; five-year budget tables; 65 site projections; nine hypothetical funding comparisons; and 108 exploratory survival/morbidity combinations. Added six equipment-life checks, 18 break-even thresholds and Monte Carlo precision/repeated-seed checks using existing parameters. Plots, complete CSV tables and the results workbook accompany this plan. No clinical parameter has been added. [M1]</w:t>
              <w:br/>
              <w:br/>
              <w:t>5. Current decision signal. The pilot reference PSA has 46.0% probability of resource cost saving, mean +$2,428/year and 95% interval −$41,148 to +$65,642. The illustrative state network gives 50.7%, mean +$135,429 and interval −$1.012m to +$1.809m. A three-year equipment life reduces deterministic pilot net saving to about $80/year. These results show uncertainty, not futility or proof of savings. Unproven mortality gains are not credited in the primary analysis. [M1]</w:t>
              <w:br/>
              <w:br/>
              <w:t>6. Remaining work and release decision. Replace assumptions only where invoices, published updates or ordinary records are available; otherwise retain explicit ranges and structural alternatives. Prioritise clinical-effect transportability, avoidable retrieval resources and equipment life. Complete the connected, locked-environment assurance gates, resolve actual diagnostics and obtain clinical/economic review before publication or investment recommendations. Further prospective evaluation is optional and should address decision-changing uncertainty. [M1]</w:t>
            </w:r>
          </w:p>
        </w:tc>
      </w:tr>
    </w:tbl>
    <w:p w14:paraId="5F09990F" w14:textId="77777777" w:rsidR="00D97FEA" w:rsidRPr="00D97FEA" w:rsidRDefault="00D97FEA" w:rsidP="00D97FEA">
      <w:pPr>
        <w:spacing w:after="0" w:line="240" w:lineRule="auto"/>
        <w:rPr>
          <w:sz w:val="18"/>
          <w:szCs w:val="20"/>
        </w:rPr>
      </w:pPr>
    </w:p>
    <w:p w14:paraId="0E41C96A" w14:textId="77777777" w:rsidR="00D97FEA" w:rsidRPr="00D97FEA" w:rsidRDefault="00D97FEA" w:rsidP="00D97FEA">
      <w:pPr>
        <w:spacing w:after="0" w:line="240" w:lineRule="auto"/>
        <w:rPr>
          <w:sz w:val="18"/>
          <w:szCs w:val="20"/>
        </w:rPr>
      </w:pPr>
    </w:p>
    <w:tbl>
      <w:tblPr>
        <w:tblStyle w:val="TableGridLight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283"/>
        <w:gridCol w:w="8911"/>
      </w:tblGrid>
      <w:tr w:rsidR="00D97FEA" w:rsidRPr="00D97FEA" w14:paraId="6FDAC365" w14:textId="77777777" w:rsidTr="00D97FEA">
        <w:trPr>
          <w:trHeight/>
        </w:trPr>
        <w:tc>
          <w:tcPr>
            <w:tcW w:w="9736" w:type="dxa"/>
            <w:gridSpan w:val="2"/>
            <w:shd w:val="clear" w:color="auto" w:fill="808080" w:themeFill="background1" w:themeFillShade="80"/>
            <w:vAlign w:val="center"/>
          </w:tcPr>
          <w:p w14:paraId="0CD8AFBE" w14:textId="77777777" w:rsidR="00D97FEA" w:rsidRPr="00D97FEA" w:rsidRDefault="00D97FEA" w:rsidP="00D97FEA">
            <w:pPr>
              <w:keepNext/>
              <w:pageBreakBefore/>
              <w:spacing w:after="60" w:line="240" w:lineRule="auto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97FEA">
              <w:rPr>
                <w:rFonts w:asciiTheme="majorHAnsi" w:hAnsiTheme="majorHAnsi" w:cstheme="majorHAnsi" w:ascii="Arial" w:hAnsi="Arial"/>
                <w:b/>
                <w:color w:val="FFFFFF" w:themeColor="background1"/>
                <w:sz w:val="18"/>
                <w:szCs w:val="18"/>
              </w:rPr>
              <w:t>Engagement and consultation</w:t>
            </w:r>
          </w:p>
        </w:tc>
      </w:tr>
      <w:tr w:rsidR="00D97FEA" w:rsidRPr="00D97FEA" w14:paraId="73E535DC" w14:textId="77777777" w:rsidTr="00D97FEA">
        <w:trPr>
          <w:trHeight/>
        </w:trPr>
        <w:tc>
          <w:tcPr>
            <w:tcW w:w="1225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686DC73" w14:textId="77777777" w:rsidR="00D97FEA" w:rsidRPr="00D97FEA" w:rsidRDefault="00D97FEA" w:rsidP="00D97FEA">
            <w:pPr>
              <w:spacing w:after="60" w:line="240" w:lineRule="auto"/>
              <w:jc w:val="right"/>
              <w:rPr>
                <w:rFonts w:cstheme="minorHAnsi"/>
                <w:b/>
                <w:sz w:val="18"/>
                <w:szCs w:val="18"/>
              </w:rPr>
            </w:pPr>
            <w:r w:rsidRPr="00D97FEA">
              <w:rPr>
                <w:rFonts w:cstheme="minorHAnsi" w:ascii="Arial" w:hAnsi="Arial"/>
                <w:b/>
                <w:sz w:val="18"/>
                <w:szCs w:val="18"/>
              </w:rPr>
              <w:t>Consumers</w:t>
            </w:r>
          </w:p>
        </w:tc>
        <w:tc>
          <w:tcPr>
            <w:tcW w:w="851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Family travel, unpaid time and separation are consequences; no consumer-derived utilities or clinical benefits are claimed.</w:t>
            </w:r>
          </w:p>
        </w:tc>
      </w:tr>
      <w:tr w:rsidR="00D97FEA" w:rsidRPr="00D97FEA" w14:paraId="017299E0" w14:textId="77777777" w:rsidTr="00D97FEA">
        <w:trPr>
          <w:trHeight/>
        </w:trPr>
        <w:tc>
          <w:tcPr>
            <w:tcW w:w="1225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50262B" w14:textId="77777777" w:rsidR="00D97FEA" w:rsidRPr="00D97FEA" w:rsidRDefault="00D97FEA" w:rsidP="00D97FEA">
            <w:pPr>
              <w:spacing w:after="60" w:line="240" w:lineRule="auto"/>
              <w:jc w:val="right"/>
              <w:rPr>
                <w:rFonts w:cstheme="minorHAnsi"/>
                <w:b/>
                <w:sz w:val="18"/>
                <w:szCs w:val="18"/>
              </w:rPr>
            </w:pPr>
            <w:r w:rsidRPr="00D97FEA">
              <w:rPr>
                <w:rFonts w:cstheme="minorHAnsi" w:ascii="Arial" w:hAnsi="Arial"/>
                <w:b/>
                <w:sz w:val="18"/>
                <w:szCs w:val="18"/>
              </w:rPr>
              <w:t>Clinicians and staff</w:t>
            </w:r>
          </w:p>
        </w:tc>
        <w:tc>
          <w:tcPr>
            <w:tcW w:w="851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Use available clinical and operational feedback; no requirement for a formal expert-estimation exercise.</w:t>
            </w:r>
          </w:p>
        </w:tc>
      </w:tr>
      <w:tr w:rsidR="00D97FEA" w:rsidRPr="00D97FEA" w14:paraId="124FDEC6" w14:textId="77777777" w:rsidTr="00D97FEA">
        <w:trPr>
          <w:trHeight/>
        </w:trPr>
        <w:tc>
          <w:tcPr>
            <w:tcW w:w="1225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485E70A" w14:textId="77777777" w:rsidR="00D97FEA" w:rsidRPr="00D97FEA" w:rsidRDefault="00D97FEA" w:rsidP="00D97FEA">
            <w:pPr>
              <w:spacing w:after="60" w:line="240" w:lineRule="auto"/>
              <w:jc w:val="right"/>
              <w:rPr>
                <w:rFonts w:cstheme="minorHAnsi"/>
                <w:b/>
                <w:sz w:val="18"/>
                <w:szCs w:val="18"/>
              </w:rPr>
            </w:pPr>
            <w:r w:rsidRPr="00D97FEA">
              <w:rPr>
                <w:rFonts w:cstheme="minorHAnsi" w:ascii="Arial" w:hAnsi="Arial"/>
                <w:b/>
                <w:sz w:val="18"/>
                <w:szCs w:val="18"/>
              </w:rPr>
              <w:t>External stakeholders</w:t>
            </w:r>
          </w:p>
        </w:tc>
        <w:tc>
          <w:tcPr>
            <w:tcW w:w="851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Existing public evidence informs the analysis. No external stakeholder endorsement or service-change approval is implied.</w:t>
            </w:r>
          </w:p>
        </w:tc>
      </w:tr>
    </w:tbl>
    <w:p w14:paraId="1D22076E" w14:textId="77777777" w:rsidR="00D97FEA" w:rsidRPr="00D97FEA" w:rsidRDefault="00D97FEA" w:rsidP="00D97FEA">
      <w:pPr>
        <w:spacing w:after="0" w:line="240" w:lineRule="auto"/>
        <w:rPr>
          <w:sz w:val="18"/>
          <w:szCs w:val="20"/>
        </w:rPr>
      </w:pPr>
    </w:p>
    <w:p w14:paraId="3D83D4F6" w14:textId="77777777" w:rsidR="00D97FEA" w:rsidRPr="00D97FEA" w:rsidRDefault="00D97FEA" w:rsidP="00D97FEA">
      <w:pPr>
        <w:spacing w:after="0" w:line="240" w:lineRule="auto"/>
        <w:rPr>
          <w:sz w:val="18"/>
          <w:szCs w:val="20"/>
        </w:rPr>
      </w:pPr>
    </w:p>
    <w:tbl>
      <w:tblPr>
        <w:tblStyle w:val="TableGridLight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182"/>
        <w:gridCol w:w="9012"/>
      </w:tblGrid>
      <w:tr w:rsidR="00D97FEA" w:rsidRPr="00D97FEA" w14:paraId="29D50C1C" w14:textId="77777777" w:rsidTr="00A1783D">
        <w:trPr>
          <w:trHeight/>
        </w:trPr>
        <w:tc>
          <w:tcPr>
            <w:tcW w:w="10194" w:type="dxa"/>
            <w:gridSpan w:val="2"/>
            <w:shd w:val="clear" w:color="auto" w:fill="808080" w:themeFill="background1" w:themeFillShade="80"/>
            <w:vAlign w:val="center"/>
          </w:tcPr>
          <w:p w14:paraId="058DBE95" w14:textId="77777777" w:rsidR="00D97FEA" w:rsidRPr="00D97FEA" w:rsidRDefault="00D97FEA" w:rsidP="00D97FEA">
            <w:pPr>
              <w:keepNext/>
              <w:spacing w:after="60" w:line="240" w:lineRule="auto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97FEA">
              <w:rPr>
                <w:rFonts w:asciiTheme="majorHAnsi" w:hAnsiTheme="majorHAnsi" w:cstheme="majorHAnsi" w:ascii="Arial" w:hAnsi="Arial"/>
                <w:b/>
                <w:color w:val="FFFFFF" w:themeColor="background1"/>
                <w:sz w:val="18"/>
                <w:szCs w:val="18"/>
              </w:rPr>
              <w:t>Implications</w:t>
            </w:r>
          </w:p>
        </w:tc>
      </w:tr>
      <w:tr w:rsidR="00D97FEA" w:rsidRPr="00D97FEA" w14:paraId="680CDFC2" w14:textId="77777777" w:rsidTr="00A1783D">
        <w:trPr>
          <w:trHeight/>
        </w:trPr>
        <w:tc>
          <w:tcPr>
            <w:tcW w:w="1182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3E4791" w14:textId="77777777" w:rsidR="00D97FEA" w:rsidRPr="00D97FEA" w:rsidRDefault="00D97FEA" w:rsidP="00D97FEA">
            <w:pPr>
              <w:spacing w:after="60" w:line="240" w:lineRule="auto"/>
              <w:jc w:val="right"/>
              <w:rPr>
                <w:rFonts w:cstheme="minorHAnsi"/>
                <w:b/>
                <w:sz w:val="18"/>
                <w:szCs w:val="18"/>
              </w:rPr>
            </w:pPr>
            <w:r w:rsidRPr="00D97FEA">
              <w:rPr>
                <w:rFonts w:cstheme="minorHAnsi" w:ascii="Arial" w:hAnsi="Arial"/>
                <w:b/>
                <w:sz w:val="18"/>
                <w:szCs w:val="18"/>
              </w:rPr>
              <w:t>Budget</w:t>
            </w:r>
          </w:p>
        </w:tc>
        <w:tc>
          <w:tcPr>
            <w:tcW w:w="901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No expenditure approval sought. Separate sunk pilot capital from replacement and rollout. Pilot continuation cash cost is estimated at $7,123/year; full annualised economic cost is $14,052.</w:t>
            </w:r>
          </w:p>
        </w:tc>
      </w:tr>
      <w:tr w:rsidR="00D97FEA" w:rsidRPr="00D97FEA" w14:paraId="36870D3B" w14:textId="77777777" w:rsidTr="00A1783D">
        <w:trPr>
          <w:trHeight/>
        </w:trPr>
        <w:tc>
          <w:tcPr>
            <w:tcW w:w="1182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0F0FC81" w14:textId="77777777" w:rsidR="00D97FEA" w:rsidRPr="00D97FEA" w:rsidRDefault="00D97FEA" w:rsidP="00D97FEA">
            <w:pPr>
              <w:spacing w:after="60" w:line="240" w:lineRule="auto"/>
              <w:jc w:val="right"/>
              <w:rPr>
                <w:rFonts w:cstheme="minorHAnsi"/>
                <w:b/>
                <w:sz w:val="18"/>
                <w:szCs w:val="18"/>
              </w:rPr>
            </w:pPr>
            <w:r w:rsidRPr="00D97FEA">
              <w:rPr>
                <w:rFonts w:cstheme="minorHAnsi" w:ascii="Arial" w:hAnsi="Arial"/>
                <w:b/>
                <w:sz w:val="18"/>
                <w:szCs w:val="18"/>
              </w:rPr>
              <w:lastRenderedPageBreak/>
              <w:t>FTE</w:t>
            </w:r>
          </w:p>
        </w:tc>
        <w:tc>
          <w:tcPr>
            <w:tcW w:w="901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No new establishment approved. Shared specialist support, readiness and training remain explicitly costed assumptions.</w:t>
            </w:r>
          </w:p>
        </w:tc>
      </w:tr>
      <w:tr w:rsidR="00D97FEA" w:rsidRPr="00D97FEA" w14:paraId="3C84FE9A" w14:textId="77777777" w:rsidTr="00A1783D">
        <w:trPr>
          <w:trHeight/>
        </w:trPr>
        <w:tc>
          <w:tcPr>
            <w:tcW w:w="1182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61353DE" w14:textId="77777777" w:rsidR="00D97FEA" w:rsidRPr="00D97FEA" w:rsidRDefault="00D97FEA" w:rsidP="00D97FEA">
            <w:pPr>
              <w:spacing w:after="60" w:line="240" w:lineRule="auto"/>
              <w:jc w:val="right"/>
              <w:rPr>
                <w:rFonts w:cstheme="minorHAnsi"/>
                <w:b/>
                <w:sz w:val="18"/>
                <w:szCs w:val="18"/>
              </w:rPr>
            </w:pPr>
            <w:r w:rsidRPr="00D97FEA">
              <w:rPr>
                <w:rFonts w:cstheme="minorHAnsi" w:ascii="Arial" w:hAnsi="Arial"/>
                <w:b/>
                <w:sz w:val="18"/>
                <w:szCs w:val="18"/>
              </w:rPr>
              <w:t>Risk</w:t>
            </w:r>
          </w:p>
        </w:tc>
        <w:tc>
          <w:tcPr>
            <w:tcW w:w="901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Observational effect evidence, historical births and inferred transport mix limit transferability. Null/harm scenarios and shared uncertainty remain explicit.</w:t>
            </w:r>
          </w:p>
        </w:tc>
      </w:tr>
      <w:tr w:rsidR="00D97FEA" w:rsidRPr="00D97FEA" w14:paraId="64D0EAFC" w14:textId="77777777" w:rsidTr="00A1783D">
        <w:trPr>
          <w:trHeight/>
        </w:trPr>
        <w:tc>
          <w:tcPr>
            <w:tcW w:w="1182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283236" w14:textId="77777777" w:rsidR="00D97FEA" w:rsidRPr="00D97FEA" w:rsidRDefault="00D97FEA" w:rsidP="00D97FEA">
            <w:pPr>
              <w:spacing w:after="60" w:line="240" w:lineRule="auto"/>
              <w:jc w:val="right"/>
              <w:rPr>
                <w:rFonts w:cstheme="minorHAnsi"/>
                <w:b/>
                <w:sz w:val="18"/>
                <w:szCs w:val="18"/>
              </w:rPr>
            </w:pPr>
            <w:r w:rsidRPr="00D97FEA">
              <w:rPr>
                <w:rFonts w:cstheme="minorHAnsi" w:ascii="Arial" w:hAnsi="Arial"/>
                <w:b/>
                <w:sz w:val="18"/>
                <w:szCs w:val="18"/>
              </w:rPr>
              <w:t>Legal</w:t>
            </w:r>
          </w:p>
        </w:tc>
        <w:tc>
          <w:tcPr>
            <w:tcW w:w="901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Aggregate existing-evidence modelling only. Obtain appropriate governance/data permissions before individual-record linkage or release of restricted material.</w:t>
            </w:r>
          </w:p>
        </w:tc>
      </w:tr>
      <w:tr w:rsidR="000C78F5" w:rsidRPr="00D97FEA" w14:paraId="15E31A32" w14:textId="77777777" w:rsidTr="00A1783D">
        <w:trPr>
          <w:trHeight/>
        </w:trPr>
        <w:tc>
          <w:tcPr>
            <w:tcW w:w="1182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E035A7" w14:textId="7827F756" w:rsidR="000C78F5" w:rsidRPr="00A1783D" w:rsidRDefault="000C78F5" w:rsidP="00D97FEA">
            <w:pPr>
              <w:spacing w:after="60" w:line="240" w:lineRule="auto"/>
              <w:jc w:val="right"/>
              <w:rPr>
                <w:rFonts w:cstheme="minorHAnsi"/>
                <w:b/>
                <w:sz w:val="18"/>
                <w:szCs w:val="18"/>
              </w:rPr>
            </w:pPr>
            <w:r w:rsidRPr="00A1783D">
              <w:rPr>
                <w:rFonts w:cstheme="minorHAnsi" w:ascii="Arial" w:hAnsi="Arial"/>
                <w:b/>
                <w:sz w:val="18"/>
                <w:szCs w:val="18"/>
              </w:rPr>
              <w:t>ICT</w:t>
            </w:r>
          </w:p>
        </w:tc>
        <w:tc>
          <w:tcPr>
            <w:tcW w:w="901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Tablet/PTZ replacement is a concept, not an approved configuration. Retain biomedical, cleaning, QH Portal far-end control, privacy and cyber checks.</w:t>
            </w:r>
          </w:p>
        </w:tc>
      </w:tr>
      <w:tr w:rsidR="00A1783D" w:rsidRPr="00D97FEA" w14:paraId="082C1F9D" w14:textId="77777777" w:rsidTr="00A1783D">
        <w:trPr>
          <w:trHeight/>
        </w:trPr>
        <w:tc>
          <w:tcPr>
            <w:tcW w:w="1182" w:type="dxa"/>
            <w:shd w:val="clear" w:color="auto" w:fill="D9D9D9" w:themeFill="background1" w:themeFillShade="D9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8CEACC3" w14:textId="79D64086" w:rsidR="00A1783D" w:rsidRPr="00A1783D" w:rsidRDefault="00A1783D" w:rsidP="00A1783D">
            <w:pPr>
              <w:spacing w:after="60" w:line="240" w:lineRule="auto"/>
              <w:jc w:val="right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 w:ascii="Arial" w:hAnsi="Arial"/>
                <w:b/>
                <w:sz w:val="18"/>
                <w:szCs w:val="18"/>
              </w:rPr>
              <w:t>Impact on First People’s Health</w:t>
            </w:r>
          </w:p>
        </w:tc>
        <w:tc>
          <w:tcPr>
            <w:tcW w:w="9012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Access and family displacement are assessed separately. Include survival with major morbidity and its costs; do not use cost saving as the sole criterion.</w:t>
            </w:r>
          </w:p>
        </w:tc>
      </w:tr>
    </w:tbl>
    <w:p w14:paraId="3DD3B245" w14:textId="77777777" w:rsidR="00D97FEA" w:rsidRPr="00D97FEA" w:rsidRDefault="00D97FEA" w:rsidP="00D97FEA">
      <w:pPr>
        <w:spacing w:after="0" w:line="240" w:lineRule="auto"/>
        <w:rPr>
          <w:sz w:val="18"/>
          <w:szCs w:val="20"/>
        </w:rPr>
      </w:pPr>
    </w:p>
    <w:p w14:paraId="7D6AE10C" w14:textId="77777777" w:rsidR="00D97FEA" w:rsidRPr="00D97FEA" w:rsidRDefault="00D97FEA" w:rsidP="00D97FEA">
      <w:pPr>
        <w:spacing w:after="0" w:line="240" w:lineRule="auto"/>
        <w:rPr>
          <w:sz w:val="18"/>
          <w:szCs w:val="20"/>
        </w:rPr>
      </w:pPr>
    </w:p>
    <w:tbl>
      <w:tblPr>
        <w:tblStyle w:val="GridTable4-Accent61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D97FEA" w:rsidRPr="00D97FEA" w14:paraId="5FFDA010" w14:textId="77777777" w:rsidTr="00D97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tcMar>
              <w:top w:w="108" w:type="dxa"/>
              <w:bottom w:w="108" w:type="dxa"/>
            </w:tcMar>
          </w:tcPr>
          <w:p w14:paraId="08487D5A" w14:textId="77777777" w:rsidR="00D97FEA" w:rsidRPr="00D97FEA" w:rsidRDefault="00D97FEA" w:rsidP="00D97FEA">
            <w:pPr>
              <w:keepNext/>
              <w:spacing w:after="60" w:line="240" w:lineRule="auto"/>
              <w:rPr>
                <w:sz w:val="18"/>
                <w:szCs w:val="18"/>
              </w:rPr>
            </w:pPr>
            <w:r w:rsidRPr="00D97FEA">
              <w:rPr>
                <w:rFonts w:ascii="Arial" w:hAnsi="Arial"/>
                <w:sz w:val="18"/>
                <w:szCs w:val="18"/>
              </w:rPr>
              <w:t>Strategic Plan alignment</w:t>
            </w:r>
          </w:p>
        </w:tc>
      </w:tr>
      <w:tr w:rsidR="00D97FEA" w:rsidRPr="00D97FEA" w14:paraId="44C5BAE6" w14:textId="77777777" w:rsidTr="00D97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Our care: timely specialist support. Our people: rural readiness. First Peoples health: equitable access. Our sustainability: transparent costs, uncertainty and proportionate engineering.</w:t>
            </w:r>
          </w:p>
        </w:tc>
      </w:tr>
    </w:tbl>
    <w:p w14:paraId="709FDE72" w14:textId="77777777" w:rsidR="00D97FEA" w:rsidRPr="00D97FEA" w:rsidRDefault="00D97FEA" w:rsidP="00D97FEA">
      <w:pPr>
        <w:spacing w:after="0" w:line="240" w:lineRule="auto"/>
      </w:pPr>
    </w:p>
    <w:tbl>
      <w:tblPr>
        <w:tblStyle w:val="GridTable4-Accent61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D97FEA" w:rsidRPr="00D97FEA" w14:paraId="01735B65" w14:textId="77777777" w:rsidTr="00D97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tcMar>
              <w:top w:w="108" w:type="dxa"/>
              <w:bottom w:w="108" w:type="dxa"/>
            </w:tcMar>
          </w:tcPr>
          <w:p w14:paraId="4025B3E6" w14:textId="77777777" w:rsidR="00D97FEA" w:rsidRPr="00D97FEA" w:rsidRDefault="00D97FEA" w:rsidP="00D97FEA">
            <w:pPr>
              <w:keepNext/>
              <w:spacing w:after="60" w:line="240" w:lineRule="auto"/>
              <w:rPr>
                <w:sz w:val="18"/>
                <w:szCs w:val="18"/>
              </w:rPr>
            </w:pPr>
            <w:r w:rsidRPr="00D97FEA">
              <w:rPr>
                <w:rFonts w:ascii="Arial" w:hAnsi="Arial"/>
                <w:sz w:val="18"/>
                <w:szCs w:val="18"/>
              </w:rPr>
              <w:t>Attachment/s</w:t>
            </w:r>
          </w:p>
        </w:tc>
      </w:tr>
      <w:tr w:rsidR="00D97FEA" w:rsidRPr="00D97FEA" w14:paraId="15A87126" w14:textId="77777777" w:rsidTr="00D97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36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after="60" w:line="240" w:lineRule="auto"/>
            </w:pPr>
            <w:r>
              <w:rPr>
                <w:rFonts w:ascii="Arial" w:hAnsi="Arial"/>
                <w:sz w:val="18"/>
              </w:rPr>
              <w:t>1. Analysis supplement v4, results workbook, plots and full tables. 2. CHHHS presentation v4. 3. Repository/Git bundle, Conductor tracks and reusable lean-CI skill. 4. Actual verification receipt and outstanding-gate register. Source identifiers refer to the supplement/register; M1 denotes reproducible model outputs, not an external study.</w:t>
            </w:r>
          </w:p>
        </w:tc>
      </w:tr>
    </w:tbl>
    <w:p w14:paraId="7A098F20" w14:textId="77777777" w:rsidR="00D97FEA" w:rsidRPr="00D97FEA" w:rsidRDefault="00D97FEA" w:rsidP="00D97FEA">
      <w:pPr>
        <w:spacing w:after="0" w:line="240" w:lineRule="auto"/>
      </w:pPr>
    </w:p>
    <w:p w14:paraId="5BC4B409" w14:textId="77777777" w:rsidR="00D97FEA" w:rsidRPr="00D97FEA" w:rsidRDefault="00000000" w:rsidP="00D97FEA">
      <w:pPr>
        <w:rPr>
          <w:rFonts w:asciiTheme="majorHAnsi" w:hAnsiTheme="majorHAnsi" w:cstheme="majorHAnsi"/>
          <w:sz w:val="18"/>
          <w:szCs w:val="18"/>
        </w:rPr>
      </w:pPr>
      <w:r>
        <w:rPr>
          <w:rFonts w:ascii="Arial" w:hAnsi="Arial"/>
          <w:sz w:val="18"/>
        </w:rPr>
      </w:r>
    </w:p>
    <w:p w14:paraId="41534388" w14:textId="77777777" w:rsidR="00D97FEA" w:rsidRPr="00D97FEA" w:rsidRDefault="00D97FEA" w:rsidP="00D97FEA">
      <w:pPr>
        <w:spacing w:after="0" w:line="240" w:lineRule="auto"/>
      </w:pPr>
    </w:p>
    <w:p w14:paraId="152FDAD7" w14:textId="7F9F27E5" w:rsidR="004F48EE" w:rsidRPr="00D97FEA" w:rsidRDefault="004F48EE" w:rsidP="00D97FEA"/>
    <w:sectPr w:rsidR="004F48EE" w:rsidRPr="00D97FEA" w:rsidSect="00CC50E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701" w:right="851" w:bottom="1418" w:left="851" w:header="34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D551C" w14:textId="77777777" w:rsidR="00842598" w:rsidRDefault="00842598" w:rsidP="009A3EAD">
      <w:r>
        <w:separator/>
      </w:r>
    </w:p>
  </w:endnote>
  <w:endnote w:type="continuationSeparator" w:id="0">
    <w:p w14:paraId="58A64C3F" w14:textId="77777777" w:rsidR="00842598" w:rsidRDefault="00842598" w:rsidP="009A3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E464F" w14:textId="350A0AD6" w:rsidR="00EB341B" w:rsidRPr="00894D5A" w:rsidRDefault="00894D5A" w:rsidP="000A6AA6">
    <w:pPr>
      <w:pStyle w:val="Caption"/>
    </w:pPr>
    <w:r w:rsidRPr="00FE7D13">
      <w:t xml:space="preserve">Page </w:t>
    </w:r>
    <w:r w:rsidRPr="00FE7D13">
      <w:fldChar w:fldCharType="begin"/>
    </w:r>
    <w:r w:rsidRPr="00FE7D13">
      <w:instrText xml:space="preserve"> PAGE </w:instrText>
    </w:r>
    <w:r w:rsidRPr="00FE7D13">
      <w:fldChar w:fldCharType="separate"/>
    </w:r>
    <w:r w:rsidR="00F529FB">
      <w:rPr>
        <w:noProof/>
      </w:rPr>
      <w:t>2</w:t>
    </w:r>
    <w:r w:rsidRPr="00FE7D13">
      <w:fldChar w:fldCharType="end"/>
    </w:r>
    <w:r w:rsidRPr="00FE7D13">
      <w:t xml:space="preserve"> of </w:t>
    </w:r>
    <w:fldSimple w:instr=" NUMPAGES ">
      <w:r w:rsidR="00F529FB">
        <w:rPr>
          <w:noProof/>
        </w:rPr>
        <w:t>2</w:t>
      </w:r>
    </w:fldSimple>
    <w:r w:rsidR="00960FB0">
      <w:rPr>
        <w:noProof/>
      </w:rPr>
      <w:drawing>
        <wp:anchor distT="0" distB="0" distL="114300" distR="114300" simplePos="0" relativeHeight="251665408" behindDoc="1" locked="0" layoutInCell="1" allowOverlap="1" wp14:anchorId="5D4E7959" wp14:editId="5F6313AA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5102000" cy="925200"/>
          <wp:effectExtent l="0" t="0" r="0" b="0"/>
          <wp:wrapNone/>
          <wp:docPr id="164" name="Picture 1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302"/>
                  <a:stretch/>
                </pic:blipFill>
                <pic:spPr bwMode="auto">
                  <a:xfrm>
                    <a:off x="0" y="0"/>
                    <a:ext cx="15102000" cy="925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BCA03" w14:textId="0E35B031" w:rsidR="00EB341B" w:rsidRPr="00894D5A" w:rsidRDefault="0013687C" w:rsidP="00894D5A">
    <w:pPr>
      <w:pStyle w:val="Caption"/>
      <w:ind w:left="-284"/>
    </w:pPr>
    <w:r>
      <w:rPr>
        <w:noProof/>
      </w:rPr>
      <w:drawing>
        <wp:inline distT="0" distB="0" distL="0" distR="0" wp14:anchorId="60F59678" wp14:editId="0B2947DF">
          <wp:extent cx="3785190" cy="363672"/>
          <wp:effectExtent l="0" t="0" r="0" b="0"/>
          <wp:docPr id="167" name="Picture 1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753" cy="3661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60FB0">
      <w:rPr>
        <w:noProof/>
      </w:rPr>
      <w:drawing>
        <wp:anchor distT="0" distB="0" distL="114300" distR="114300" simplePos="0" relativeHeight="251663360" behindDoc="1" locked="0" layoutInCell="1" allowOverlap="1" wp14:anchorId="083FBB6B" wp14:editId="5573EE65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5102000" cy="925200"/>
          <wp:effectExtent l="0" t="0" r="0" b="0"/>
          <wp:wrapNone/>
          <wp:docPr id="168" name="Picture 1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302"/>
                  <a:stretch/>
                </pic:blipFill>
                <pic:spPr bwMode="auto">
                  <a:xfrm>
                    <a:off x="0" y="0"/>
                    <a:ext cx="15102000" cy="925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E042E" w14:textId="77777777" w:rsidR="00842598" w:rsidRDefault="00842598" w:rsidP="009A3EAD">
      <w:r>
        <w:separator/>
      </w:r>
    </w:p>
  </w:footnote>
  <w:footnote w:type="continuationSeparator" w:id="0">
    <w:p w14:paraId="1BC8A6D7" w14:textId="77777777" w:rsidR="00842598" w:rsidRDefault="00842598" w:rsidP="009A3E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9C4E7" w14:textId="61585C45" w:rsidR="00960FB0" w:rsidRDefault="00960FB0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5D8BB8E" wp14:editId="1235118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5102000" cy="892800"/>
          <wp:effectExtent l="0" t="0" r="0" b="0"/>
          <wp:wrapNone/>
          <wp:docPr id="163" name="Picture 1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1657"/>
                  <a:stretch/>
                </pic:blipFill>
                <pic:spPr bwMode="auto">
                  <a:xfrm>
                    <a:off x="0" y="0"/>
                    <a:ext cx="15102000" cy="892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8C77E" w14:textId="773683C0" w:rsidR="00EB341B" w:rsidRDefault="007432E8" w:rsidP="009A3EAD">
    <w:r>
      <w:rPr>
        <w:noProof/>
      </w:rPr>
      <w:drawing>
        <wp:anchor distT="0" distB="0" distL="114300" distR="114300" simplePos="0" relativeHeight="251658240" behindDoc="1" locked="0" layoutInCell="1" allowOverlap="1" wp14:anchorId="4710FBB7" wp14:editId="410482BB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5102000" cy="1645200"/>
          <wp:effectExtent l="0" t="0" r="0" b="0"/>
          <wp:wrapNone/>
          <wp:docPr id="165" name="Picture 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Version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2"/>
                  <a:stretch/>
                </pic:blipFill>
                <pic:spPr bwMode="auto">
                  <a:xfrm>
                    <a:off x="0" y="0"/>
                    <a:ext cx="15102000" cy="1645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0FB0">
      <w:rPr>
        <w:noProof/>
      </w:rPr>
      <w:drawing>
        <wp:anchor distT="0" distB="0" distL="114300" distR="114300" simplePos="0" relativeHeight="251659264" behindDoc="1" locked="0" layoutInCell="1" allowOverlap="1" wp14:anchorId="28B23226" wp14:editId="01694D72">
          <wp:simplePos x="0" y="0"/>
          <wp:positionH relativeFrom="margin">
            <wp:align>left</wp:align>
          </wp:positionH>
          <wp:positionV relativeFrom="page">
            <wp:posOffset>360045</wp:posOffset>
          </wp:positionV>
          <wp:extent cx="2350800" cy="432000"/>
          <wp:effectExtent l="0" t="0" r="0" b="6350"/>
          <wp:wrapTight wrapText="bothSides">
            <wp:wrapPolygon edited="0">
              <wp:start x="0" y="0"/>
              <wp:lineTo x="0" y="20012"/>
              <wp:lineTo x="2276" y="20965"/>
              <wp:lineTo x="3151" y="20965"/>
              <wp:lineTo x="17854" y="20965"/>
              <wp:lineTo x="19780" y="20012"/>
              <wp:lineTo x="19254" y="15247"/>
              <wp:lineTo x="21355" y="10482"/>
              <wp:lineTo x="21355" y="0"/>
              <wp:lineTo x="0" y="0"/>
            </wp:wrapPolygon>
          </wp:wrapTight>
          <wp:docPr id="166" name="Picture 1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0800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4429"/>
    <w:multiLevelType w:val="hybridMultilevel"/>
    <w:tmpl w:val="36E40FE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47F74"/>
    <w:multiLevelType w:val="hybridMultilevel"/>
    <w:tmpl w:val="9B7461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F4B5B"/>
    <w:multiLevelType w:val="hybridMultilevel"/>
    <w:tmpl w:val="2AF095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C1619"/>
    <w:multiLevelType w:val="hybridMultilevel"/>
    <w:tmpl w:val="F49C972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F0B9B"/>
    <w:multiLevelType w:val="hybridMultilevel"/>
    <w:tmpl w:val="BD7E1BE6"/>
    <w:lvl w:ilvl="0" w:tplc="0B9CDB2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D3B93"/>
    <w:multiLevelType w:val="hybridMultilevel"/>
    <w:tmpl w:val="483A4C00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3798C"/>
    <w:multiLevelType w:val="hybridMultilevel"/>
    <w:tmpl w:val="A8543D6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FB7C4C"/>
    <w:multiLevelType w:val="hybridMultilevel"/>
    <w:tmpl w:val="C58AB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9C018D"/>
    <w:multiLevelType w:val="hybridMultilevel"/>
    <w:tmpl w:val="752225CA"/>
    <w:lvl w:ilvl="0" w:tplc="25E4EA78">
      <w:start w:val="1"/>
      <w:numFmt w:val="bullet"/>
      <w:lvlText w:val="»"/>
      <w:lvlJc w:val="left"/>
      <w:pPr>
        <w:ind w:left="720" w:hanging="360"/>
      </w:pPr>
      <w:rPr>
        <w:rFonts w:ascii="Courier New" w:hAnsi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71AD2"/>
    <w:multiLevelType w:val="hybridMultilevel"/>
    <w:tmpl w:val="643009CA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600205">
    <w:abstractNumId w:val="1"/>
  </w:num>
  <w:num w:numId="2" w16cid:durableId="1032999209">
    <w:abstractNumId w:val="5"/>
  </w:num>
  <w:num w:numId="3" w16cid:durableId="799303867">
    <w:abstractNumId w:val="0"/>
  </w:num>
  <w:num w:numId="4" w16cid:durableId="957564642">
    <w:abstractNumId w:val="9"/>
  </w:num>
  <w:num w:numId="5" w16cid:durableId="1580477875">
    <w:abstractNumId w:val="7"/>
  </w:num>
  <w:num w:numId="6" w16cid:durableId="1932927594">
    <w:abstractNumId w:val="8"/>
  </w:num>
  <w:num w:numId="7" w16cid:durableId="586891597">
    <w:abstractNumId w:val="3"/>
  </w:num>
  <w:num w:numId="8" w16cid:durableId="549654892">
    <w:abstractNumId w:val="4"/>
  </w:num>
  <w:num w:numId="9" w16cid:durableId="1589313931">
    <w:abstractNumId w:val="2"/>
  </w:num>
  <w:num w:numId="10" w16cid:durableId="20957411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LockTheme/>
  <w:styleLockQFSet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8EE"/>
    <w:rsid w:val="000A6AA6"/>
    <w:rsid w:val="000B3E4F"/>
    <w:rsid w:val="000C78F5"/>
    <w:rsid w:val="00124667"/>
    <w:rsid w:val="0013687C"/>
    <w:rsid w:val="001544C2"/>
    <w:rsid w:val="001861CC"/>
    <w:rsid w:val="001976E0"/>
    <w:rsid w:val="001B6E92"/>
    <w:rsid w:val="002075B3"/>
    <w:rsid w:val="00246C30"/>
    <w:rsid w:val="00250BD9"/>
    <w:rsid w:val="002B79EB"/>
    <w:rsid w:val="002D6463"/>
    <w:rsid w:val="002F4C39"/>
    <w:rsid w:val="0030110A"/>
    <w:rsid w:val="00343084"/>
    <w:rsid w:val="00361A91"/>
    <w:rsid w:val="00371831"/>
    <w:rsid w:val="00373466"/>
    <w:rsid w:val="003A5C46"/>
    <w:rsid w:val="003B70B8"/>
    <w:rsid w:val="003E74BC"/>
    <w:rsid w:val="004749F8"/>
    <w:rsid w:val="004D0432"/>
    <w:rsid w:val="004F48EE"/>
    <w:rsid w:val="00513527"/>
    <w:rsid w:val="00525C8A"/>
    <w:rsid w:val="0052699D"/>
    <w:rsid w:val="005276A1"/>
    <w:rsid w:val="00534DB3"/>
    <w:rsid w:val="005428FC"/>
    <w:rsid w:val="00575706"/>
    <w:rsid w:val="005B35E7"/>
    <w:rsid w:val="005D72C4"/>
    <w:rsid w:val="005D7EA8"/>
    <w:rsid w:val="00607B17"/>
    <w:rsid w:val="00635118"/>
    <w:rsid w:val="006C3117"/>
    <w:rsid w:val="00721BC3"/>
    <w:rsid w:val="00721C70"/>
    <w:rsid w:val="00735B07"/>
    <w:rsid w:val="007432E8"/>
    <w:rsid w:val="00751F41"/>
    <w:rsid w:val="007D5D34"/>
    <w:rsid w:val="00842598"/>
    <w:rsid w:val="0088078B"/>
    <w:rsid w:val="00894D5A"/>
    <w:rsid w:val="009162D2"/>
    <w:rsid w:val="00925E47"/>
    <w:rsid w:val="00950DE1"/>
    <w:rsid w:val="00960FB0"/>
    <w:rsid w:val="0096143E"/>
    <w:rsid w:val="009A3EAD"/>
    <w:rsid w:val="009B6F4A"/>
    <w:rsid w:val="009C5D54"/>
    <w:rsid w:val="00A06E62"/>
    <w:rsid w:val="00A1783D"/>
    <w:rsid w:val="00A25B72"/>
    <w:rsid w:val="00A42DC1"/>
    <w:rsid w:val="00AA1882"/>
    <w:rsid w:val="00AC4223"/>
    <w:rsid w:val="00AD48AA"/>
    <w:rsid w:val="00B25DDE"/>
    <w:rsid w:val="00C12181"/>
    <w:rsid w:val="00C370A6"/>
    <w:rsid w:val="00CC50E1"/>
    <w:rsid w:val="00CD1C13"/>
    <w:rsid w:val="00CD5660"/>
    <w:rsid w:val="00D0549C"/>
    <w:rsid w:val="00D603DF"/>
    <w:rsid w:val="00D860A4"/>
    <w:rsid w:val="00D97FEA"/>
    <w:rsid w:val="00DA4412"/>
    <w:rsid w:val="00DF36A8"/>
    <w:rsid w:val="00E11738"/>
    <w:rsid w:val="00EB1E3F"/>
    <w:rsid w:val="00EB341B"/>
    <w:rsid w:val="00EF1E1B"/>
    <w:rsid w:val="00F07B23"/>
    <w:rsid w:val="00F529FB"/>
    <w:rsid w:val="00F74C39"/>
    <w:rsid w:val="00F80E38"/>
    <w:rsid w:val="00FB4E1B"/>
    <w:rsid w:val="00FD78FB"/>
    <w:rsid w:val="00FF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EE49D"/>
  <w15:chartTrackingRefBased/>
  <w15:docId w15:val="{8CBBED74-AE56-4FAD-B387-3B0FC45E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semiHidden="1" w:uiPriority="22" w:qFormat="1"/>
    <w:lsdException w:name="Emphasis" w:locked="1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locked="1" w:semiHidden="1" w:uiPriority="29" w:qFormat="1"/>
    <w:lsdException w:name="Intense Quote" w:locked="1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semiHidden="1" w:uiPriority="19" w:qFormat="1"/>
    <w:lsdException w:name="Intense Emphasis" w:locked="1" w:semiHidden="1" w:uiPriority="21" w:qFormat="1"/>
    <w:lsdException w:name="Subtle Reference" w:locked="1" w:semiHidden="1" w:uiPriority="31" w:qFormat="1"/>
    <w:lsdException w:name="Intense Reference" w:locked="1" w:semiHidden="1" w:uiPriority="32" w:qFormat="1"/>
    <w:lsdException w:name="Book Title" w:locked="1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527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368794" w:themeColor="accent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B35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368794" w:themeColor="accent4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5B35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368794" w:themeColor="accent4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B35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8794" w:themeColor="accent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rsid w:val="004F48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semiHidden/>
    <w:rsid w:val="00513527"/>
    <w:rPr>
      <w:sz w:val="20"/>
    </w:rPr>
  </w:style>
  <w:style w:type="table" w:styleId="TableGrid">
    <w:name w:val="Table Grid"/>
    <w:basedOn w:val="TableNormal"/>
    <w:uiPriority w:val="59"/>
    <w:rsid w:val="004F4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F48EE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7F7F" w:themeColor="accent6"/>
          <w:left w:val="single" w:sz="4" w:space="0" w:color="7F7F7F" w:themeColor="accent6"/>
          <w:bottom w:val="single" w:sz="4" w:space="0" w:color="7F7F7F" w:themeColor="accent6"/>
          <w:right w:val="single" w:sz="4" w:space="0" w:color="7F7F7F" w:themeColor="accent6"/>
          <w:insideH w:val="nil"/>
          <w:insideV w:val="nil"/>
        </w:tcBorders>
        <w:shd w:val="clear" w:color="auto" w:fill="7F7F7F" w:themeFill="accent6"/>
      </w:tcPr>
    </w:tblStylePr>
    <w:tblStylePr w:type="lastRow">
      <w:rPr>
        <w:b/>
        <w:bCs/>
      </w:rPr>
      <w:tblPr/>
      <w:tcPr>
        <w:tcBorders>
          <w:top w:val="double" w:sz="4" w:space="0" w:color="7F7F7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B35E7"/>
    <w:rPr>
      <w:rFonts w:asciiTheme="majorHAnsi" w:eastAsiaTheme="majorEastAsia" w:hAnsiTheme="majorHAnsi" w:cstheme="majorBidi"/>
      <w:b/>
      <w:color w:val="368794" w:themeColor="accent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527"/>
    <w:rPr>
      <w:rFonts w:asciiTheme="majorHAnsi" w:eastAsiaTheme="majorEastAsia" w:hAnsiTheme="majorHAnsi" w:cstheme="majorBidi"/>
      <w:b/>
      <w:color w:val="368794" w:themeColor="accent4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527"/>
    <w:rPr>
      <w:rFonts w:asciiTheme="majorHAnsi" w:eastAsiaTheme="majorEastAsia" w:hAnsiTheme="majorHAnsi" w:cstheme="majorBidi"/>
      <w:b/>
      <w:color w:val="368794" w:themeColor="accent4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8078B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82B06B" w:themeColor="accent2"/>
      <w:spacing w:val="-10"/>
      <w:kern w:val="28"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88078B"/>
    <w:rPr>
      <w:rFonts w:asciiTheme="majorHAnsi" w:eastAsiaTheme="majorEastAsia" w:hAnsiTheme="majorHAnsi" w:cstheme="majorBidi"/>
      <w:b/>
      <w:color w:val="82B06B" w:themeColor="accent2"/>
      <w:spacing w:val="-10"/>
      <w:kern w:val="28"/>
      <w:sz w:val="90"/>
      <w:szCs w:val="90"/>
    </w:rPr>
  </w:style>
  <w:style w:type="character" w:customStyle="1" w:styleId="Heading4Char">
    <w:name w:val="Heading 4 Char"/>
    <w:basedOn w:val="DefaultParagraphFont"/>
    <w:link w:val="Heading4"/>
    <w:uiPriority w:val="9"/>
    <w:rsid w:val="00513527"/>
    <w:rPr>
      <w:rFonts w:asciiTheme="majorHAnsi" w:eastAsiaTheme="majorEastAsia" w:hAnsiTheme="majorHAnsi" w:cstheme="majorBidi"/>
      <w:i/>
      <w:iCs/>
      <w:color w:val="368794" w:themeColor="accent4"/>
      <w:sz w:val="28"/>
    </w:rPr>
  </w:style>
  <w:style w:type="paragraph" w:styleId="ListParagraph">
    <w:name w:val="List Paragraph"/>
    <w:basedOn w:val="Normal"/>
    <w:uiPriority w:val="34"/>
    <w:qFormat/>
    <w:rsid w:val="00EB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76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6A1"/>
    <w:rPr>
      <w:rFonts w:ascii="Segoe UI" w:hAnsi="Segoe UI" w:cs="Segoe UI"/>
      <w:sz w:val="18"/>
      <w:szCs w:val="18"/>
    </w:rPr>
  </w:style>
  <w:style w:type="table" w:styleId="GridTable4-Accent2">
    <w:name w:val="Grid Table 4 Accent 2"/>
    <w:basedOn w:val="TableNormal"/>
    <w:uiPriority w:val="49"/>
    <w:rsid w:val="005B35E7"/>
    <w:pPr>
      <w:spacing w:after="0" w:line="240" w:lineRule="auto"/>
    </w:pPr>
    <w:tblPr>
      <w:tblStyleRowBandSize w:val="1"/>
      <w:tblStyleColBandSize w:val="1"/>
      <w:tblBorders>
        <w:top w:val="single" w:sz="4" w:space="0" w:color="B3CFA6" w:themeColor="accent2" w:themeTint="99"/>
        <w:left w:val="single" w:sz="4" w:space="0" w:color="B3CFA6" w:themeColor="accent2" w:themeTint="99"/>
        <w:bottom w:val="single" w:sz="4" w:space="0" w:color="B3CFA6" w:themeColor="accent2" w:themeTint="99"/>
        <w:right w:val="single" w:sz="4" w:space="0" w:color="B3CFA6" w:themeColor="accent2" w:themeTint="99"/>
        <w:insideH w:val="single" w:sz="4" w:space="0" w:color="B3CFA6" w:themeColor="accent2" w:themeTint="99"/>
        <w:insideV w:val="single" w:sz="4" w:space="0" w:color="B3CFA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B06B" w:themeColor="accent2"/>
          <w:left w:val="single" w:sz="4" w:space="0" w:color="82B06B" w:themeColor="accent2"/>
          <w:bottom w:val="single" w:sz="4" w:space="0" w:color="82B06B" w:themeColor="accent2"/>
          <w:right w:val="single" w:sz="4" w:space="0" w:color="82B06B" w:themeColor="accent2"/>
          <w:insideH w:val="nil"/>
          <w:insideV w:val="nil"/>
        </w:tcBorders>
        <w:shd w:val="clear" w:color="auto" w:fill="82B06B" w:themeFill="accent2"/>
      </w:tcPr>
    </w:tblStylePr>
    <w:tblStylePr w:type="lastRow">
      <w:rPr>
        <w:b/>
        <w:bCs/>
      </w:rPr>
      <w:tblPr/>
      <w:tcPr>
        <w:tcBorders>
          <w:top w:val="double" w:sz="4" w:space="0" w:color="82B06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FE1" w:themeFill="accent2" w:themeFillTint="33"/>
      </w:tcPr>
    </w:tblStylePr>
    <w:tblStylePr w:type="band1Horz">
      <w:tblPr/>
      <w:tcPr>
        <w:shd w:val="clear" w:color="auto" w:fill="E5EFE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B35E7"/>
    <w:pPr>
      <w:spacing w:after="0" w:line="240" w:lineRule="auto"/>
    </w:pPr>
    <w:tblPr>
      <w:tblStyleRowBandSize w:val="1"/>
      <w:tblStyleColBandSize w:val="1"/>
      <w:tblBorders>
        <w:top w:val="single" w:sz="4" w:space="0" w:color="FCDBA9" w:themeColor="accent3" w:themeTint="99"/>
        <w:left w:val="single" w:sz="4" w:space="0" w:color="FCDBA9" w:themeColor="accent3" w:themeTint="99"/>
        <w:bottom w:val="single" w:sz="4" w:space="0" w:color="FCDBA9" w:themeColor="accent3" w:themeTint="99"/>
        <w:right w:val="single" w:sz="4" w:space="0" w:color="FCDBA9" w:themeColor="accent3" w:themeTint="99"/>
        <w:insideH w:val="single" w:sz="4" w:space="0" w:color="FCDBA9" w:themeColor="accent3" w:themeTint="99"/>
        <w:insideV w:val="single" w:sz="4" w:space="0" w:color="FCDBA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C470" w:themeColor="accent3"/>
          <w:left w:val="single" w:sz="4" w:space="0" w:color="FAC470" w:themeColor="accent3"/>
          <w:bottom w:val="single" w:sz="4" w:space="0" w:color="FAC470" w:themeColor="accent3"/>
          <w:right w:val="single" w:sz="4" w:space="0" w:color="FAC470" w:themeColor="accent3"/>
          <w:insideH w:val="nil"/>
          <w:insideV w:val="nil"/>
        </w:tcBorders>
        <w:shd w:val="clear" w:color="auto" w:fill="FAC470" w:themeFill="accent3"/>
      </w:tcPr>
    </w:tblStylePr>
    <w:tblStylePr w:type="lastRow">
      <w:rPr>
        <w:b/>
        <w:bCs/>
      </w:rPr>
      <w:tblPr/>
      <w:tcPr>
        <w:tcBorders>
          <w:top w:val="double" w:sz="4" w:space="0" w:color="FAC47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3E2" w:themeFill="accent3" w:themeFillTint="33"/>
      </w:tcPr>
    </w:tblStylePr>
    <w:tblStylePr w:type="band1Horz">
      <w:tblPr/>
      <w:tcPr>
        <w:shd w:val="clear" w:color="auto" w:fill="FEF3E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B35E7"/>
    <w:pPr>
      <w:spacing w:after="0" w:line="240" w:lineRule="auto"/>
    </w:pPr>
    <w:tblPr>
      <w:tblStyleRowBandSize w:val="1"/>
      <w:tblStyleColBandSize w:val="1"/>
      <w:tblBorders>
        <w:top w:val="single" w:sz="4" w:space="0" w:color="77C1CD" w:themeColor="accent4" w:themeTint="99"/>
        <w:left w:val="single" w:sz="4" w:space="0" w:color="77C1CD" w:themeColor="accent4" w:themeTint="99"/>
        <w:bottom w:val="single" w:sz="4" w:space="0" w:color="77C1CD" w:themeColor="accent4" w:themeTint="99"/>
        <w:right w:val="single" w:sz="4" w:space="0" w:color="77C1CD" w:themeColor="accent4" w:themeTint="99"/>
        <w:insideH w:val="single" w:sz="4" w:space="0" w:color="77C1CD" w:themeColor="accent4" w:themeTint="99"/>
        <w:insideV w:val="single" w:sz="4" w:space="0" w:color="77C1C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68794" w:themeColor="accent4"/>
          <w:left w:val="single" w:sz="4" w:space="0" w:color="368794" w:themeColor="accent4"/>
          <w:bottom w:val="single" w:sz="4" w:space="0" w:color="368794" w:themeColor="accent4"/>
          <w:right w:val="single" w:sz="4" w:space="0" w:color="368794" w:themeColor="accent4"/>
          <w:insideH w:val="nil"/>
          <w:insideV w:val="nil"/>
        </w:tcBorders>
        <w:shd w:val="clear" w:color="auto" w:fill="368794" w:themeFill="accent4"/>
      </w:tcPr>
    </w:tblStylePr>
    <w:tblStylePr w:type="lastRow">
      <w:rPr>
        <w:b/>
        <w:bCs/>
      </w:rPr>
      <w:tblPr/>
      <w:tcPr>
        <w:tcBorders>
          <w:top w:val="double" w:sz="4" w:space="0" w:color="36879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EE" w:themeFill="accent4" w:themeFillTint="33"/>
      </w:tcPr>
    </w:tblStylePr>
    <w:tblStylePr w:type="band1Horz">
      <w:tblPr/>
      <w:tcPr>
        <w:shd w:val="clear" w:color="auto" w:fill="D1EAEE" w:themeFill="accent4" w:themeFillTint="33"/>
      </w:tcPr>
    </w:tblStylePr>
  </w:style>
  <w:style w:type="paragraph" w:styleId="Caption">
    <w:name w:val="caption"/>
    <w:basedOn w:val="Normal"/>
    <w:next w:val="Normal"/>
    <w:semiHidden/>
    <w:qFormat/>
    <w:rsid w:val="00894D5A"/>
    <w:pPr>
      <w:spacing w:after="0" w:line="240" w:lineRule="auto"/>
    </w:pPr>
    <w:rPr>
      <w:rFonts w:ascii="Arial" w:eastAsia="Times New Roman" w:hAnsi="Arial" w:cs="Times New Roman"/>
      <w:iCs/>
      <w:sz w:val="15"/>
      <w:szCs w:val="15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197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6E0"/>
    <w:rPr>
      <w:sz w:val="20"/>
    </w:rPr>
  </w:style>
  <w:style w:type="character" w:styleId="Hyperlink">
    <w:name w:val="Hyperlink"/>
    <w:basedOn w:val="DefaultParagraphFont"/>
    <w:uiPriority w:val="99"/>
    <w:unhideWhenUsed/>
    <w:rsid w:val="00D860A4"/>
    <w:rPr>
      <w:color w:val="61854F" w:themeColor="accen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0A4"/>
    <w:rPr>
      <w:color w:val="605E5C"/>
      <w:shd w:val="clear" w:color="auto" w:fill="E1DFDD"/>
    </w:rPr>
  </w:style>
  <w:style w:type="table" w:customStyle="1" w:styleId="GridTable4-Accent61">
    <w:name w:val="Grid Table 4 - Accent 61"/>
    <w:basedOn w:val="TableNormal"/>
    <w:next w:val="GridTable4-Accent6"/>
    <w:uiPriority w:val="49"/>
    <w:rsid w:val="00D97FEA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7F7F" w:themeColor="accent6"/>
          <w:left w:val="single" w:sz="4" w:space="0" w:color="7F7F7F" w:themeColor="accent6"/>
          <w:bottom w:val="single" w:sz="4" w:space="0" w:color="7F7F7F" w:themeColor="accent6"/>
          <w:right w:val="single" w:sz="4" w:space="0" w:color="7F7F7F" w:themeColor="accent6"/>
          <w:insideH w:val="nil"/>
          <w:insideV w:val="nil"/>
        </w:tcBorders>
        <w:shd w:val="clear" w:color="auto" w:fill="7F7F7F" w:themeFill="accent6"/>
        <w:vAlign w:val="center"/>
      </w:tcPr>
    </w:tblStylePr>
    <w:tblStylePr w:type="lastRow">
      <w:rPr>
        <w:b w:val="0"/>
        <w:bCs/>
      </w:rPr>
      <w:tblPr/>
      <w:tcPr>
        <w:tcBorders>
          <w:top w:val="double" w:sz="4" w:space="0" w:color="7F7F7F" w:themeColor="accent6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tc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cBorders>
      </w:tcPr>
    </w:tblStylePr>
  </w:style>
  <w:style w:type="table" w:styleId="TableGridLight">
    <w:name w:val="Grid Table Light"/>
    <w:basedOn w:val="TableNormal"/>
    <w:uiPriority w:val="40"/>
    <w:rsid w:val="00D97F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B25DDE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024DF666F34792B6E6121E45E22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C2305-90DE-43B3-A6C5-745187972858}"/>
      </w:docPartPr>
      <w:docPartBody>
        <w:p w:rsidR="00E17EE2" w:rsidRDefault="007D5F05" w:rsidP="007D5F05">
          <w:pPr>
            <w:pStyle w:val="04024DF666F34792B6E6121E45E22857"/>
          </w:pPr>
          <w:r w:rsidRPr="00D65C78">
            <w:rPr>
              <w:rStyle w:val="PlaceholderText"/>
            </w:rPr>
            <w:t>Click or tap to enter a date.</w:t>
          </w:r>
        </w:p>
      </w:docPartBody>
    </w:docPart>
    <w:docPart>
      <w:docPartPr>
        <w:name w:val="760CECCA096D490A880790A2019FC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67667-D5C2-488B-AB50-2A8FA06CB6A9}"/>
      </w:docPartPr>
      <w:docPartBody>
        <w:p w:rsidR="00E17EE2" w:rsidRDefault="007D5F05" w:rsidP="007D5F05">
          <w:pPr>
            <w:pStyle w:val="760CECCA096D490A880790A2019FC004"/>
          </w:pPr>
          <w:r w:rsidRPr="00C036E3">
            <w:rPr>
              <w:rStyle w:val="PlaceholderText"/>
            </w:rPr>
            <w:t>Choose an item.</w:t>
          </w:r>
        </w:p>
      </w:docPartBody>
    </w:docPart>
    <w:docPart>
      <w:docPartPr>
        <w:name w:val="176E077064B749EB82D370C814BDD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25C54-245D-40A6-BA40-1313761D4731}"/>
      </w:docPartPr>
      <w:docPartBody>
        <w:p w:rsidR="00E17EE2" w:rsidRDefault="007D5F05" w:rsidP="007D5F05">
          <w:pPr>
            <w:pStyle w:val="176E077064B749EB82D370C814BDD69D"/>
          </w:pPr>
          <w:r w:rsidRPr="00C036E3">
            <w:rPr>
              <w:rStyle w:val="PlaceholderText"/>
            </w:rPr>
            <w:t>Choose an item.</w:t>
          </w:r>
        </w:p>
      </w:docPartBody>
    </w:docPart>
    <w:docPart>
      <w:docPartPr>
        <w:name w:val="B6248C8A0D5B43018C88F5EE309F9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C426B-91A4-477B-9330-47B0730C4ACD}"/>
      </w:docPartPr>
      <w:docPartBody>
        <w:p w:rsidR="00E17EE2" w:rsidRDefault="007D5F05" w:rsidP="007D5F05">
          <w:pPr>
            <w:pStyle w:val="B6248C8A0D5B43018C88F5EE309F94AF"/>
          </w:pPr>
          <w:r w:rsidRPr="00C036E3">
            <w:rPr>
              <w:rStyle w:val="PlaceholderText"/>
            </w:rPr>
            <w:t>Choose an item.</w:t>
          </w:r>
        </w:p>
      </w:docPartBody>
    </w:docPart>
    <w:docPart>
      <w:docPartPr>
        <w:name w:val="BC0EEDC90BB1436BB93B7C9388DA1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2684F-0F8D-4140-BB1A-CF9BBE2F932A}"/>
      </w:docPartPr>
      <w:docPartBody>
        <w:p w:rsidR="00E17EE2" w:rsidRDefault="007D5F05" w:rsidP="007D5F05">
          <w:pPr>
            <w:pStyle w:val="BC0EEDC90BB1436BB93B7C9388DA17BF"/>
          </w:pPr>
          <w:r w:rsidRPr="00C036E3">
            <w:rPr>
              <w:rStyle w:val="PlaceholderText"/>
            </w:rPr>
            <w:t>Choose an item.</w:t>
          </w:r>
        </w:p>
      </w:docPartBody>
    </w:docPart>
    <w:docPart>
      <w:docPartPr>
        <w:name w:val="5ADB61D8F9CF4A5FB81CAC66DC3F0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90519-17E5-4A83-BBFA-B92E0E72BDAC}"/>
      </w:docPartPr>
      <w:docPartBody>
        <w:p w:rsidR="00E17EE2" w:rsidRDefault="007D5F05" w:rsidP="007D5F05">
          <w:pPr>
            <w:pStyle w:val="5ADB61D8F9CF4A5FB81CAC66DC3F037F"/>
          </w:pPr>
          <w:r w:rsidRPr="00C036E3">
            <w:rPr>
              <w:rStyle w:val="PlaceholderText"/>
            </w:rPr>
            <w:t>Choose an item.</w:t>
          </w:r>
        </w:p>
      </w:docPartBody>
    </w:docPart>
    <w:docPart>
      <w:docPartPr>
        <w:name w:val="AB77017AC9A3430B832ACF112BAE7F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90003-2DDC-43B7-BE09-0B5008B25556}"/>
      </w:docPartPr>
      <w:docPartBody>
        <w:p w:rsidR="00E17EE2" w:rsidRDefault="007D5F05" w:rsidP="007D5F05">
          <w:pPr>
            <w:pStyle w:val="AB77017AC9A3430B832ACF112BAE7F04"/>
          </w:pPr>
          <w:r w:rsidRPr="00C036E3">
            <w:rPr>
              <w:rStyle w:val="PlaceholderText"/>
            </w:rPr>
            <w:t>Choose an item.</w:t>
          </w:r>
        </w:p>
      </w:docPartBody>
    </w:docPart>
    <w:docPart>
      <w:docPartPr>
        <w:name w:val="7B48427B856F453BBB056F6DB104C9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211C67-365A-4301-A384-D22EF1FE398E}"/>
      </w:docPartPr>
      <w:docPartBody>
        <w:p w:rsidR="00E17EE2" w:rsidRDefault="007D5F05" w:rsidP="007D5F05">
          <w:pPr>
            <w:pStyle w:val="7B48427B856F453BBB056F6DB104C98B"/>
          </w:pPr>
          <w:r w:rsidRPr="00C036E3">
            <w:rPr>
              <w:rStyle w:val="PlaceholderText"/>
            </w:rPr>
            <w:t>Choose an item.</w:t>
          </w:r>
        </w:p>
      </w:docPartBody>
    </w:docPart>
    <w:docPart>
      <w:docPartPr>
        <w:name w:val="E45EA76F19CF44C9BD4AFE21BB7FB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3B8-5B62-4E40-B057-4F928E3B1330}"/>
      </w:docPartPr>
      <w:docPartBody>
        <w:p w:rsidR="00E17EE2" w:rsidRDefault="007D5F05" w:rsidP="007D5F05">
          <w:pPr>
            <w:pStyle w:val="E45EA76F19CF44C9BD4AFE21BB7FB319"/>
          </w:pPr>
          <w:r w:rsidRPr="00390590">
            <w:rPr>
              <w:rStyle w:val="PlaceholderText"/>
              <w:rFonts w:asciiTheme="majorHAnsi" w:hAnsiTheme="majorHAnsi" w:cstheme="majorHAnsi"/>
            </w:rPr>
            <w:t>Choose an item.</w:t>
          </w:r>
        </w:p>
      </w:docPartBody>
    </w:docPart>
    <w:docPart>
      <w:docPartPr>
        <w:name w:val="EB7122B78589419FB73B50A184BA2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317B9-BA35-41FF-BB07-CD406C1424FF}"/>
      </w:docPartPr>
      <w:docPartBody>
        <w:p w:rsidR="00E17EE2" w:rsidRDefault="007D5F05" w:rsidP="007D5F05">
          <w:pPr>
            <w:pStyle w:val="EB7122B78589419FB73B50A184BA2CB1"/>
          </w:pPr>
          <w:r w:rsidRPr="00FB040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9729AC184E43E8B74BB521B66A7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B5267-4D3D-4F10-A5A7-6C9A3BC11B1E}"/>
      </w:docPartPr>
      <w:docPartBody>
        <w:p w:rsidR="00E17EE2" w:rsidRDefault="007D5F05" w:rsidP="007D5F05">
          <w:pPr>
            <w:pStyle w:val="CF9729AC184E43E8B74BB521B66A7D22"/>
          </w:pPr>
          <w:r w:rsidRPr="00C036E3">
            <w:rPr>
              <w:rStyle w:val="PlaceholderText"/>
            </w:rPr>
            <w:t>Choose an item.</w:t>
          </w:r>
        </w:p>
      </w:docPartBody>
    </w:docPart>
    <w:docPart>
      <w:docPartPr>
        <w:name w:val="D3D06CBA1CD848C4921638209B62A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9F9E93-6ED4-432F-875F-08BF9C6E6D1B}"/>
      </w:docPartPr>
      <w:docPartBody>
        <w:p w:rsidR="00E17EE2" w:rsidRDefault="007D5F05" w:rsidP="007D5F05">
          <w:pPr>
            <w:pStyle w:val="D3D06CBA1CD848C4921638209B62A34E"/>
          </w:pPr>
          <w:r w:rsidRPr="00C036E3">
            <w:rPr>
              <w:rStyle w:val="PlaceholderText"/>
            </w:rPr>
            <w:t>Choose an item.</w:t>
          </w:r>
        </w:p>
      </w:docPartBody>
    </w:docPart>
    <w:docPart>
      <w:docPartPr>
        <w:name w:val="BB42D9430F4948DEBC028998FF855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E20C7-BA5F-43D7-9829-135E495D3BBC}"/>
      </w:docPartPr>
      <w:docPartBody>
        <w:p w:rsidR="00E17EE2" w:rsidRDefault="007D5F05" w:rsidP="007D5F05">
          <w:pPr>
            <w:pStyle w:val="BB42D9430F4948DEBC028998FF855630"/>
          </w:pPr>
          <w:r w:rsidRPr="00C036E3">
            <w:rPr>
              <w:rStyle w:val="PlaceholderText"/>
            </w:rPr>
            <w:t>Choose an item.</w:t>
          </w:r>
        </w:p>
      </w:docPartBody>
    </w:docPart>
    <w:docPart>
      <w:docPartPr>
        <w:name w:val="71734E0F601747D8B4F7DA6BDD318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D10C7-4559-458F-A33D-1C30B9965CDB}"/>
      </w:docPartPr>
      <w:docPartBody>
        <w:p w:rsidR="00E17EE2" w:rsidRDefault="007D5F05" w:rsidP="007D5F05">
          <w:pPr>
            <w:pStyle w:val="71734E0F601747D8B4F7DA6BDD3181F7"/>
          </w:pPr>
          <w:r w:rsidRPr="00C036E3">
            <w:rPr>
              <w:rStyle w:val="PlaceholderText"/>
            </w:rPr>
            <w:t>Choose an item.</w:t>
          </w:r>
        </w:p>
      </w:docPartBody>
    </w:docPart>
    <w:docPart>
      <w:docPartPr>
        <w:name w:val="A0B8DA403D8A46C78B5BB340C8FAC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D4B1D-4AF6-408E-B2EA-364AE204A584}"/>
      </w:docPartPr>
      <w:docPartBody>
        <w:p w:rsidR="005E1EBA" w:rsidRDefault="00227AEC" w:rsidP="00227AEC">
          <w:pPr>
            <w:pStyle w:val="A0B8DA403D8A46C78B5BB340C8FACE93"/>
          </w:pPr>
          <w:r w:rsidRPr="00FB040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05"/>
    <w:rsid w:val="001D0A4A"/>
    <w:rsid w:val="00227AEC"/>
    <w:rsid w:val="005A4030"/>
    <w:rsid w:val="005E1EBA"/>
    <w:rsid w:val="007D5F05"/>
    <w:rsid w:val="00C65923"/>
    <w:rsid w:val="00E1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7AEC"/>
    <w:rPr>
      <w:color w:val="808080"/>
    </w:rPr>
  </w:style>
  <w:style w:type="paragraph" w:customStyle="1" w:styleId="04024DF666F34792B6E6121E45E22857">
    <w:name w:val="04024DF666F34792B6E6121E45E22857"/>
    <w:rsid w:val="007D5F05"/>
  </w:style>
  <w:style w:type="paragraph" w:customStyle="1" w:styleId="760CECCA096D490A880790A2019FC004">
    <w:name w:val="760CECCA096D490A880790A2019FC004"/>
    <w:rsid w:val="007D5F05"/>
  </w:style>
  <w:style w:type="paragraph" w:customStyle="1" w:styleId="176E077064B749EB82D370C814BDD69D">
    <w:name w:val="176E077064B749EB82D370C814BDD69D"/>
    <w:rsid w:val="007D5F05"/>
  </w:style>
  <w:style w:type="paragraph" w:customStyle="1" w:styleId="B6248C8A0D5B43018C88F5EE309F94AF">
    <w:name w:val="B6248C8A0D5B43018C88F5EE309F94AF"/>
    <w:rsid w:val="007D5F05"/>
  </w:style>
  <w:style w:type="paragraph" w:customStyle="1" w:styleId="BC0EEDC90BB1436BB93B7C9388DA17BF">
    <w:name w:val="BC0EEDC90BB1436BB93B7C9388DA17BF"/>
    <w:rsid w:val="007D5F05"/>
  </w:style>
  <w:style w:type="paragraph" w:customStyle="1" w:styleId="5ADB61D8F9CF4A5FB81CAC66DC3F037F">
    <w:name w:val="5ADB61D8F9CF4A5FB81CAC66DC3F037F"/>
    <w:rsid w:val="007D5F05"/>
  </w:style>
  <w:style w:type="paragraph" w:customStyle="1" w:styleId="AB77017AC9A3430B832ACF112BAE7F04">
    <w:name w:val="AB77017AC9A3430B832ACF112BAE7F04"/>
    <w:rsid w:val="007D5F05"/>
  </w:style>
  <w:style w:type="paragraph" w:customStyle="1" w:styleId="7B48427B856F453BBB056F6DB104C98B">
    <w:name w:val="7B48427B856F453BBB056F6DB104C98B"/>
    <w:rsid w:val="007D5F05"/>
  </w:style>
  <w:style w:type="paragraph" w:customStyle="1" w:styleId="E45EA76F19CF44C9BD4AFE21BB7FB319">
    <w:name w:val="E45EA76F19CF44C9BD4AFE21BB7FB319"/>
    <w:rsid w:val="007D5F05"/>
  </w:style>
  <w:style w:type="paragraph" w:customStyle="1" w:styleId="EB7122B78589419FB73B50A184BA2CB1">
    <w:name w:val="EB7122B78589419FB73B50A184BA2CB1"/>
    <w:rsid w:val="007D5F05"/>
  </w:style>
  <w:style w:type="paragraph" w:customStyle="1" w:styleId="CF9729AC184E43E8B74BB521B66A7D22">
    <w:name w:val="CF9729AC184E43E8B74BB521B66A7D22"/>
    <w:rsid w:val="007D5F05"/>
  </w:style>
  <w:style w:type="paragraph" w:customStyle="1" w:styleId="D3D06CBA1CD848C4921638209B62A34E">
    <w:name w:val="D3D06CBA1CD848C4921638209B62A34E"/>
    <w:rsid w:val="007D5F05"/>
  </w:style>
  <w:style w:type="paragraph" w:customStyle="1" w:styleId="BB42D9430F4948DEBC028998FF855630">
    <w:name w:val="BB42D9430F4948DEBC028998FF855630"/>
    <w:rsid w:val="007D5F05"/>
  </w:style>
  <w:style w:type="paragraph" w:customStyle="1" w:styleId="71734E0F601747D8B4F7DA6BDD3181F7">
    <w:name w:val="71734E0F601747D8B4F7DA6BDD3181F7"/>
    <w:rsid w:val="007D5F05"/>
  </w:style>
  <w:style w:type="paragraph" w:customStyle="1" w:styleId="A0B8DA403D8A46C78B5BB340C8FACE93">
    <w:name w:val="A0B8DA403D8A46C78B5BB340C8FACE93"/>
    <w:rsid w:val="00227A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Rainforest to the Reef">
      <a:dk1>
        <a:sysClr val="windowText" lastClr="000000"/>
      </a:dk1>
      <a:lt1>
        <a:sysClr val="window" lastClr="FFFFFF"/>
      </a:lt1>
      <a:dk2>
        <a:srgbClr val="368794"/>
      </a:dk2>
      <a:lt2>
        <a:srgbClr val="FEF3E2"/>
      </a:lt2>
      <a:accent1>
        <a:srgbClr val="61854F"/>
      </a:accent1>
      <a:accent2>
        <a:srgbClr val="82B06B"/>
      </a:accent2>
      <a:accent3>
        <a:srgbClr val="FAC470"/>
      </a:accent3>
      <a:accent4>
        <a:srgbClr val="368794"/>
      </a:accent4>
      <a:accent5>
        <a:srgbClr val="4BACC6"/>
      </a:accent5>
      <a:accent6>
        <a:srgbClr val="7F7F7F"/>
      </a:accent6>
      <a:hlink>
        <a:srgbClr val="FAC470"/>
      </a:hlink>
      <a:folHlink>
        <a:srgbClr val="E8637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A80CF-EF3E-4353-B7D6-46E4560C6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 Schreiweis</dc:creator>
  <cp:keywords/>
  <dc:description/>
  <cp:lastModifiedBy>Jannine Giddins</cp:lastModifiedBy>
  <cp:revision>3</cp:revision>
  <cp:lastPrinted>2021-01-06T01:19:00Z</cp:lastPrinted>
  <dcterms:created xsi:type="dcterms:W3CDTF">2023-07-12T02:03:00Z</dcterms:created>
  <dcterms:modified xsi:type="dcterms:W3CDTF">2023-10-05T03:01:00Z</dcterms:modified>
</cp:coreProperties>
</file>