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F7A19" w14:textId="77777777" w:rsidR="00D97FEA" w:rsidRPr="00D97FEA" w:rsidRDefault="00D97FEA" w:rsidP="00D97FEA">
      <w:pPr>
        <w:spacing w:after="0" w:line="240" w:lineRule="auto"/>
      </w:pPr>
      <w:r>
        <w:rPr>
          <w:rFonts w:ascii="Arial" w:hAnsi="Arial"/>
          <w:sz w:val="18"/>
        </w:rPr>
        <w:t>28 October 2026 | Evaluation plan v6 | Discussion draft — no expenditure approval</w:t>
      </w:r>
    </w:p>
    <w:sdt>
      <w:sdtPr>
        <w:rPr>
          <w:rStyle w:val="Heading1Char"/>
        </w:rPr>
        <w:id w:val="1606767437"/>
        <w:placeholder>
          <w:docPart w:val="760CECCA096D490A880790A2019FC004"/>
        </w:placeholder>
        <w:comboBox>
          <w:listItem w:displayText="&lt;select document type&gt;" w:value="&lt;select document type&gt;"/>
          <w:listItem w:displayText="Board Agenda Paper " w:value="Board Agenda Paper "/>
          <w:listItem w:displayText="ELC Agenda Paper" w:value="ELC Agenda Paper"/>
          <w:listItem w:displayText="Committee Agenda Item" w:value="Committee Agenda Item"/>
        </w:comboBox>
      </w:sdtPr>
      <w:sdtContent>
        <w:p w14:paraId="35FBFC4E" w14:textId="77777777" w:rsidR="00D97FEA" w:rsidRPr="00D97FEA" w:rsidRDefault="00D97FEA" w:rsidP="00D97FEA">
          <w:pPr>
            <w:spacing w:after="0" w:line="240" w:lineRule="auto"/>
            <w:contextualSpacing/>
            <w:rPr>
              <w:rStyle w:val="Heading1Char"/>
            </w:rPr>
          </w:pPr>
          <w:r w:rsidRPr="00D97FEA">
            <w:rPr>
              <w:rStyle w:val="Heading1Char"/>
            </w:rPr>
            <w:t>MEMORANDUM</w:t>
          </w:r>
        </w:p>
      </w:sdtContent>
    </w:sdt>
    <w:p w14:paraId="1F0B137B" w14:textId="77777777" w:rsidR="00D97FEA" w:rsidRPr="00D97FEA" w:rsidRDefault="00D97FEA" w:rsidP="00D97FEA">
      <w:pPr>
        <w:pStyle w:val="Heading2"/>
      </w:pPr>
      <w:r>
        <w:rPr>
          <w:rFonts w:ascii="Arial" w:hAnsi="Arial"/>
          <w:b/>
          <w:sz w:val="30"/>
        </w:rPr>
        <w:t>Panda Vision: explicit pathways and investment evaluation</w:t>
      </w:r>
    </w:p>
    <w:tbl>
      <w:tblPr>
        <w:tblStyle w:val="GridTable4-Accent61"/>
        <w:tblW w:w="5000" w:type="pct"/>
        <w:tblLook w:val="04A0" w:firstRow="1" w:lastRow="0" w:firstColumn="1" w:lastColumn="0" w:noHBand="0" w:noVBand="1"/>
      </w:tblPr>
      <w:tblGrid>
        <w:gridCol w:w="10194"/>
      </w:tblGrid>
      <w:tr w:rsidR="00D97FEA" w:rsidRPr="00D97FEA" w14:paraId="4F944B24"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06F712AE" w14:textId="77777777" w:rsidR="00D97FEA" w:rsidRPr="00D97FEA" w:rsidRDefault="00D97FEA" w:rsidP="00D97FEA">
            <w:pPr>
              <w:keepNext/>
              <w:spacing w:after="60" w:line="240" w:lineRule="auto"/>
              <w:rPr>
                <w:sz w:val="18"/>
                <w:szCs w:val="18"/>
              </w:rPr>
            </w:pPr>
            <w:r w:rsidRPr="00D97FEA">
              <w:rPr>
                <w:rFonts w:ascii="Arial" w:hAnsi="Arial"/>
                <w:sz w:val="18"/>
                <w:szCs w:val="18"/>
              </w:rPr>
              <w:t>Action required</w:t>
            </w:r>
          </w:p>
        </w:tc>
      </w:tr>
      <w:tr w:rsidR="00D97FEA" w:rsidRPr="00D97FEA" w14:paraId="7B791F88" w14:textId="77777777" w:rsidTr="00D97FEA">
        <w:trPr>
          <w:cnfStyle w:val="000000100000" w:firstRow="0" w:lastRow="0" w:firstColumn="0" w:lastColumn="0" w:oddVBand="0" w:evenVBand="0" w:oddHBand="1" w:evenHBand="0" w:firstRowFirstColumn="0" w:firstRowLastColumn="0" w:lastRowFirstColumn="0" w:lastRowLastColumn="0"/>
          <w:trHeight/>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60" w:line="240" w:lineRule="auto"/>
            </w:pPr>
            <w:r>
              <w:rPr>
                <w:rFonts w:ascii="Arial" w:hAnsi="Arial"/>
                <w:sz w:val="18"/>
              </w:rPr>
              <w:t>Use the repaired existing-evidence model for conditional investment analysis. Compare five complete consultation configurations while distinguishing economic resources, actual budgets and funding. Do not treat estimated savings, an unquoted prototype or software tests as clinical validation. Independent review and critical full-text verification remain incomplete.</w:t>
            </w:r>
          </w:p>
        </w:tc>
      </w:tr>
    </w:tbl>
    <w:p w14:paraId="70BB9612" w14:textId="77777777" w:rsidR="00D97FEA" w:rsidRPr="00D97FEA" w:rsidRDefault="00D97FEA" w:rsidP="00D97FEA">
      <w:pPr>
        <w:spacing w:after="0" w:line="240" w:lineRule="auto"/>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28"/>
        <w:gridCol w:w="8566"/>
      </w:tblGrid>
      <w:tr w:rsidR="00D97FEA" w:rsidRPr="00D97FEA" w14:paraId="0D79D513" w14:textId="77777777" w:rsidTr="00D97FEA">
        <w:trPr>
          <w:trHeight/>
        </w:trPr>
        <w:tc>
          <w:tcPr>
            <w:tcW w:w="1555" w:type="dxa"/>
            <w:shd w:val="clear" w:color="auto" w:fill="D9D9D9" w:themeFill="background1" w:themeFillShade="D9"/>
            <w:vAlign w:val="center"/>
          </w:tcPr>
          <w:p w14:paraId="67791F81" w14:textId="77777777" w:rsidR="00D97FEA" w:rsidRPr="00D97FEA" w:rsidRDefault="00D97FEA" w:rsidP="00D97FEA">
            <w:pPr>
              <w:keepNext/>
              <w:spacing w:after="60" w:line="240" w:lineRule="auto"/>
              <w:jc w:val="right"/>
              <w:rPr>
                <w:b/>
                <w:sz w:val="18"/>
                <w:szCs w:val="18"/>
              </w:rPr>
            </w:pPr>
            <w:r w:rsidRPr="00D97FEA">
              <w:rPr>
                <w:rFonts w:ascii="Arial" w:hAnsi="Arial"/>
                <w:b/>
                <w:sz w:val="18"/>
                <w:szCs w:val="18"/>
              </w:rPr>
              <w:t>Author</w:t>
            </w:r>
          </w:p>
        </w:tc>
        <w:tc>
          <w:tcPr>
            <w:tcW w:w="8181" w:type="dxa"/>
            <w:vAlign w:val="center"/>
          </w:tcPr>
          <w:p>
            <w:pPr>
              <w:keepNext/>
              <w:spacing w:after="60" w:line="240" w:lineRule="auto"/>
            </w:pPr>
            <w:r>
              <w:rPr>
                <w:rFonts w:ascii="Arial" w:hAnsi="Arial"/>
                <w:sz w:val="18"/>
              </w:rPr>
              <w:t>Prepared for Dr Dylan Mordaunt, Chief Medical Officer</w:t>
            </w:r>
          </w:p>
        </w:tc>
      </w:tr>
      <w:tr w:rsidR="00D97FEA" w:rsidRPr="00D97FEA" w14:paraId="023E57CB" w14:textId="77777777" w:rsidTr="00D97FEA">
        <w:trPr>
          <w:trHeight/>
        </w:trPr>
        <w:tc>
          <w:tcPr>
            <w:tcW w:w="1555" w:type="dxa"/>
            <w:shd w:val="clear" w:color="auto" w:fill="D9D9D9" w:themeFill="background1" w:themeFillShade="D9"/>
            <w:vAlign w:val="center"/>
          </w:tcPr>
          <w:p w14:paraId="15EFFA91" w14:textId="77777777" w:rsidR="00D97FEA" w:rsidRPr="00D97FEA" w:rsidRDefault="00D97FEA" w:rsidP="00D97FEA">
            <w:pPr>
              <w:spacing w:after="60" w:line="240" w:lineRule="auto"/>
              <w:jc w:val="right"/>
              <w:rPr>
                <w:b/>
                <w:sz w:val="18"/>
                <w:szCs w:val="18"/>
              </w:rPr>
            </w:pPr>
            <w:r w:rsidRPr="00D97FEA">
              <w:rPr>
                <w:rFonts w:ascii="Arial" w:hAnsi="Arial"/>
                <w:b/>
                <w:sz w:val="18"/>
                <w:szCs w:val="18"/>
              </w:rPr>
              <w:t>Presented by</w:t>
            </w:r>
          </w:p>
        </w:tc>
        <w:tc>
          <w:tcPr>
            <w:tcW w:w="8181" w:type="dxa"/>
            <w:vAlign w:val="center"/>
          </w:tcPr>
          <w:p>
            <w:pPr>
              <w:spacing w:after="60" w:line="240" w:lineRule="auto"/>
            </w:pPr>
            <w:r>
              <w:rPr>
                <w:rFonts w:ascii="Arial" w:hAnsi="Arial"/>
                <w:sz w:val="18"/>
              </w:rPr>
              <w:t>CMO / neonatal, retrieval, virtual-care and finance partners</w:t>
            </w:r>
          </w:p>
        </w:tc>
      </w:tr>
    </w:tbl>
    <w:p w14:paraId="2CBACA2F" w14:textId="77777777" w:rsidR="00D97FEA" w:rsidRPr="00D97FEA" w:rsidRDefault="00D97FEA" w:rsidP="00D97FEA">
      <w:pPr>
        <w:spacing w:after="0" w:line="240" w:lineRule="auto"/>
      </w:pPr>
    </w:p>
    <w:tbl>
      <w:tblPr>
        <w:tblStyle w:val="GridTable4-Accent61"/>
        <w:tblW w:w="5000" w:type="pct"/>
        <w:tblLook w:val="04A0" w:firstRow="1" w:lastRow="0" w:firstColumn="1" w:lastColumn="0" w:noHBand="0" w:noVBand="1"/>
      </w:tblPr>
      <w:tblGrid>
        <w:gridCol w:w="10194"/>
      </w:tblGrid>
      <w:tr w:rsidR="00D97FEA" w:rsidRPr="00D97FEA" w14:paraId="1E0A0A58"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14EB32D6" w14:textId="77777777" w:rsidR="00D97FEA" w:rsidRPr="00D97FEA" w:rsidRDefault="00D97FEA" w:rsidP="00D97FEA">
            <w:pPr>
              <w:keepNext/>
              <w:spacing w:after="60" w:line="240" w:lineRule="auto"/>
              <w:rPr>
                <w:sz w:val="18"/>
                <w:szCs w:val="18"/>
              </w:rPr>
            </w:pPr>
            <w:r w:rsidRPr="00D97FEA">
              <w:rPr>
                <w:rFonts w:ascii="Arial" w:hAnsi="Arial"/>
                <w:sz w:val="18"/>
                <w:szCs w:val="18"/>
              </w:rPr>
              <w:t>Executive summary</w:t>
            </w:r>
          </w:p>
        </w:tc>
      </w:tr>
      <w:tr w:rsidR="00D97FEA" w:rsidRPr="00D97FEA" w14:paraId="2C58A047" w14:textId="77777777" w:rsidTr="00D97FEA">
        <w:trPr>
          <w:cnfStyle w:val="000000100000" w:firstRow="0" w:lastRow="0" w:firstColumn="0" w:lastColumn="0" w:oddVBand="0" w:evenVBand="0" w:oddHBand="1" w:evenHBand="0" w:firstRowFirstColumn="0" w:firstRowLastColumn="0" w:lastRowFirstColumn="0" w:lastRowLastColumn="0"/>
          <w:trHeight/>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vAlign w:val="top"/>
          </w:tcPr>
          <w:p>
            <w:pPr>
              <w:spacing w:after="60" w:line="240" w:lineRule="auto"/>
            </w:pPr>
            <w:r>
              <w:rPr>
                <w:rFonts w:ascii="Arial" w:hAnsi="Arial"/>
                <w:sz w:val="18"/>
              </w:rPr>
              <w:t>1. Decision and scope. Compare telephone-supported consultation, mobile teleconference, Panda Vision, fixed ceiling/wall PTZ and a complete tablet/OBSBOT kit. Retain specialist consultation and RSQ/ANTS-NQ escalation in every arm. Distinguish new investment, existing equipment and shared use. Pilot activity remains 10–15 consultations per site/year at Atherton, Mareeba and Innisfail; 4–5 Atherton cases do not estimate effectiveness. [ELC2026; USER2026]</w:t>
              <w:br/>
              <w:br/>
              <w:t>2. Explicit clinical pathways. For each severity stratum, show immediate transfer, initial local care followed by delayed rescue, and final local care. The primary hypothesis applies the video odds ratio to eventual transfer, then partitions timing; it does not penalise the same effect twice. Failed video follows telephone care. Test an initial-decision interpretation, increased delay and excess rescue separately. No mortality benefit is assumed. [M6; HAY2020]</w:t>
              <w:br/>
              <w:br/>
              <w:t>3. Hospital and hub resources. Price originating care, receiving care, final local care and additional pre-rescue care once each. Unadjusted IHACPA episode prices provide provisional prototypes, not patient-level coding or marginal cash costs. Separate hospital and transport avoidable fractions. Replace the site-count hub trigger with incremental video minutes × loaded hourly cost; additional paid capacity depends on workload exceeding explicit spare capacity. Existing telephone time is not recharged. [NEP26; M6]</w:t>
              <w:br/>
              <w:br/>
              <w:t>4. Complete and interpret the analysis. The repaired kernel has 22 paired 20,000-draw structures, 12 one-way dimensions, three two-way grids, a 625-point four-way grid and seven-year cash/replacement schedules. Clinical effects and systematic costs remain shared across strategies/sites. The pilot reference gives 50.5% probability of resource saving for Panda versus telephone; the illustrative state figure is 65.6%. These are changed model estimates, not new empirical evidence. [M6]</w:t>
              <w:br/>
              <w:br/>
              <w:t>5. Verify evidence and validity. Full article bodies were reviewed for Lietz, Maddox and the Fox transport-cost paper. The original Haynes transfer study and Armfield/Yoo/Thao economic papers remain full-text access gaps. Preserve their provisional status, null/harm scenarios and transportability caveats. A separate scalar arithmetic implementation and conservation tests passed; no independent subagent panel could be executed. Four reviewer briefs and a pending-status register are provided. [E6; V6]</w:t>
              <w:br/>
              <w:br/>
              <w:t>6. Prepare the publication. Lead with the investment question, explicit pathways, source/assumption table, paired uncertainty and decision thresholds. Move machine learning and speculative lifetime results out of the main argument. Use ISPOR–SMDM/AdViSHE/TECH-VER status documentation and CHEERS reporting, without claiming certification. Complete independent face validation, full-text gaps and a clean locked-environment run before submission. No RCT, new recruitment or structured elicitation is a prerequisite. [V6]</w:t>
            </w:r>
          </w:p>
        </w:tc>
      </w:tr>
    </w:tbl>
    <w:p w14:paraId="5F09990F" w14:textId="77777777" w:rsidR="00D97FEA" w:rsidRPr="00D97FEA" w:rsidRDefault="00D97FEA" w:rsidP="00D97FEA">
      <w:pPr>
        <w:spacing w:after="0" w:line="240" w:lineRule="auto"/>
        <w:rPr>
          <w:sz w:val="18"/>
          <w:szCs w:val="20"/>
        </w:rPr>
      </w:pPr>
    </w:p>
    <w:p w14:paraId="0E41C96A" w14:textId="77777777" w:rsidR="00D97FEA" w:rsidRPr="00D97FEA" w:rsidRDefault="00D97FEA" w:rsidP="00D97FEA">
      <w:pPr>
        <w:spacing w:after="0" w:line="240" w:lineRule="auto"/>
        <w:rPr>
          <w:sz w:val="18"/>
          <w:szCs w:val="20"/>
        </w:rPr>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83"/>
        <w:gridCol w:w="8911"/>
      </w:tblGrid>
      <w:tr w:rsidR="00D97FEA" w:rsidRPr="00D97FEA" w14:paraId="6FDAC365" w14:textId="77777777" w:rsidTr="00D97FEA">
        <w:trPr>
          <w:trHeight/>
        </w:trPr>
        <w:tc>
          <w:tcPr>
            <w:tcW w:w="9736" w:type="dxa"/>
            <w:gridSpan w:val="2"/>
            <w:shd w:val="clear" w:color="auto" w:fill="808080" w:themeFill="background1" w:themeFillShade="80"/>
            <w:vAlign w:val="center"/>
          </w:tcPr>
          <w:p w14:paraId="0CD8AFBE" w14:textId="77777777" w:rsidR="00D97FEA" w:rsidRPr="00D97FEA" w:rsidRDefault="00D97FEA" w:rsidP="00D97FEA">
            <w:pPr>
              <w:keepNext/>
              <w:pageBreakBefore/>
              <w:spacing w:after="60" w:line="240" w:lineRule="auto"/>
              <w:rPr>
                <w:rFonts w:asciiTheme="majorHAnsi" w:hAnsiTheme="majorHAnsi" w:cstheme="majorHAnsi"/>
                <w:b/>
                <w:sz w:val="18"/>
                <w:szCs w:val="18"/>
              </w:rPr>
            </w:pPr>
            <w:r w:rsidRPr="00D97FEA">
              <w:rPr>
                <w:rFonts w:asciiTheme="majorHAnsi" w:hAnsiTheme="majorHAnsi" w:cstheme="majorHAnsi" w:ascii="Arial" w:hAnsi="Arial"/>
                <w:b/>
                <w:color w:val="FFFFFF" w:themeColor="background1"/>
                <w:sz w:val="18"/>
                <w:szCs w:val="18"/>
              </w:rPr>
              <w:t>Engagement and consultation</w:t>
            </w:r>
          </w:p>
        </w:tc>
      </w:tr>
      <w:tr w:rsidR="00D97FEA" w:rsidRPr="00D97FEA" w14:paraId="73E535DC" w14:textId="77777777" w:rsidTr="00D97FEA">
        <w:trPr>
          <w:trHeight/>
        </w:trPr>
        <w:tc>
          <w:tcPr>
            <w:tcW w:w="1225" w:type="dxa"/>
            <w:shd w:val="clear" w:color="auto" w:fill="D9D9D9" w:themeFill="background1" w:themeFillShade="D9"/>
            <w:tcMar>
              <w:top w:w="57" w:type="dxa"/>
              <w:left w:w="57" w:type="dxa"/>
              <w:bottom w:w="57" w:type="dxa"/>
              <w:right w:w="57" w:type="dxa"/>
            </w:tcMar>
          </w:tcPr>
          <w:p w14:paraId="3686DC73"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Consumers</w:t>
            </w:r>
          </w:p>
        </w:tc>
        <w:tc>
          <w:tcPr>
            <w:tcW w:w="8511" w:type="dxa"/>
            <w:tcMar>
              <w:top w:w="57" w:type="dxa"/>
              <w:left w:w="57" w:type="dxa"/>
              <w:bottom w:w="57" w:type="dxa"/>
              <w:right w:w="57" w:type="dxa"/>
            </w:tcMar>
          </w:tcPr>
          <w:p>
            <w:pPr>
              <w:spacing w:after="60" w:line="240" w:lineRule="auto"/>
            </w:pPr>
            <w:r>
              <w:rPr>
                <w:rFonts w:ascii="Arial" w:hAnsi="Arial"/>
                <w:sz w:val="18"/>
              </w:rPr>
              <w:t>Describe family expenditure and separation as a limited extension, not a complete societal evaluation.</w:t>
            </w:r>
          </w:p>
        </w:tc>
      </w:tr>
      <w:tr w:rsidR="00D97FEA" w:rsidRPr="00D97FEA" w14:paraId="017299E0" w14:textId="77777777" w:rsidTr="00D97FEA">
        <w:trPr>
          <w:trHeight/>
        </w:trPr>
        <w:tc>
          <w:tcPr>
            <w:tcW w:w="1225" w:type="dxa"/>
            <w:shd w:val="clear" w:color="auto" w:fill="D9D9D9" w:themeFill="background1" w:themeFillShade="D9"/>
            <w:tcMar>
              <w:top w:w="57" w:type="dxa"/>
              <w:left w:w="57" w:type="dxa"/>
              <w:bottom w:w="57" w:type="dxa"/>
              <w:right w:w="57" w:type="dxa"/>
            </w:tcMar>
          </w:tcPr>
          <w:p w14:paraId="3B50262B"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Clinicians and staff</w:t>
            </w:r>
          </w:p>
        </w:tc>
        <w:tc>
          <w:tcPr>
            <w:tcW w:w="8511" w:type="dxa"/>
            <w:tcMar>
              <w:top w:w="57" w:type="dxa"/>
              <w:left w:w="57" w:type="dxa"/>
              <w:bottom w:w="57" w:type="dxa"/>
              <w:right w:w="57" w:type="dxa"/>
            </w:tcMar>
          </w:tcPr>
          <w:p>
            <w:pPr>
              <w:spacing w:after="60" w:line="240" w:lineRule="auto"/>
            </w:pPr>
            <w:r>
              <w:rPr>
                <w:rFonts w:ascii="Arial" w:hAnsi="Arial"/>
                <w:sz w:val="18"/>
              </w:rPr>
              <w:t>Seek independent clinical/economic scrutiny of the specified pathways and provisional costs; no numerical elicitation is required.</w:t>
            </w:r>
          </w:p>
        </w:tc>
      </w:tr>
      <w:tr w:rsidR="00D97FEA" w:rsidRPr="00D97FEA" w14:paraId="124FDEC6" w14:textId="77777777" w:rsidTr="00D97FEA">
        <w:trPr>
          <w:trHeight/>
        </w:trPr>
        <w:tc>
          <w:tcPr>
            <w:tcW w:w="1225" w:type="dxa"/>
            <w:shd w:val="clear" w:color="auto" w:fill="D9D9D9" w:themeFill="background1" w:themeFillShade="D9"/>
            <w:tcMar>
              <w:top w:w="57" w:type="dxa"/>
              <w:left w:w="57" w:type="dxa"/>
              <w:bottom w:w="57" w:type="dxa"/>
              <w:right w:w="57" w:type="dxa"/>
            </w:tcMar>
          </w:tcPr>
          <w:p w14:paraId="2485E70A"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External stakeholders</w:t>
            </w:r>
          </w:p>
        </w:tc>
        <w:tc>
          <w:tcPr>
            <w:tcW w:w="8511" w:type="dxa"/>
            <w:tcMar>
              <w:top w:w="57" w:type="dxa"/>
              <w:left w:w="57" w:type="dxa"/>
              <w:bottom w:w="57" w:type="dxa"/>
              <w:right w:w="57" w:type="dxa"/>
            </w:tcMar>
          </w:tcPr>
          <w:p>
            <w:pPr>
              <w:spacing w:after="60" w:line="240" w:lineRule="auto"/>
            </w:pPr>
            <w:r>
              <w:rPr>
                <w:rFonts w:ascii="Arial" w:hAnsi="Arial"/>
                <w:sz w:val="18"/>
              </w:rPr>
              <w:t>No external, neonatal-network or vendor endorsement is implied. Subagent briefs are unexecuted, not independent reports.</w:t>
            </w:r>
          </w:p>
        </w:tc>
      </w:tr>
    </w:tbl>
    <w:p w14:paraId="1D22076E" w14:textId="77777777" w:rsidR="00D97FEA" w:rsidRPr="00D97FEA" w:rsidRDefault="00D97FEA" w:rsidP="00D97FEA">
      <w:pPr>
        <w:spacing w:after="0" w:line="240" w:lineRule="auto"/>
        <w:rPr>
          <w:sz w:val="18"/>
          <w:szCs w:val="20"/>
        </w:rPr>
      </w:pPr>
    </w:p>
    <w:p w14:paraId="3D83D4F6" w14:textId="77777777" w:rsidR="00D97FEA" w:rsidRPr="00D97FEA" w:rsidRDefault="00D97FEA" w:rsidP="00D97FEA">
      <w:pPr>
        <w:spacing w:after="0" w:line="240" w:lineRule="auto"/>
        <w:rPr>
          <w:sz w:val="18"/>
          <w:szCs w:val="20"/>
        </w:rPr>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82"/>
        <w:gridCol w:w="9012"/>
      </w:tblGrid>
      <w:tr w:rsidR="00D97FEA" w:rsidRPr="00D97FEA" w14:paraId="29D50C1C" w14:textId="77777777" w:rsidTr="00A1783D">
        <w:trPr>
          <w:trHeight/>
        </w:trPr>
        <w:tc>
          <w:tcPr>
            <w:tcW w:w="10194" w:type="dxa"/>
            <w:gridSpan w:val="2"/>
            <w:shd w:val="clear" w:color="auto" w:fill="808080" w:themeFill="background1" w:themeFillShade="80"/>
            <w:vAlign w:val="center"/>
          </w:tcPr>
          <w:p w14:paraId="058DBE95" w14:textId="77777777" w:rsidR="00D97FEA" w:rsidRPr="00D97FEA" w:rsidRDefault="00D97FEA" w:rsidP="00D97FEA">
            <w:pPr>
              <w:keepNext/>
              <w:spacing w:after="60" w:line="240" w:lineRule="auto"/>
              <w:rPr>
                <w:rFonts w:asciiTheme="majorHAnsi" w:hAnsiTheme="majorHAnsi" w:cstheme="majorHAnsi"/>
                <w:b/>
                <w:sz w:val="18"/>
                <w:szCs w:val="18"/>
              </w:rPr>
            </w:pPr>
            <w:r w:rsidRPr="00D97FEA">
              <w:rPr>
                <w:rFonts w:asciiTheme="majorHAnsi" w:hAnsiTheme="majorHAnsi" w:cstheme="majorHAnsi" w:ascii="Arial" w:hAnsi="Arial"/>
                <w:b/>
                <w:color w:val="FFFFFF" w:themeColor="background1"/>
                <w:sz w:val="18"/>
                <w:szCs w:val="18"/>
              </w:rPr>
              <w:t>Implications</w:t>
            </w:r>
          </w:p>
        </w:tc>
      </w:tr>
      <w:tr w:rsidR="00D97FEA" w:rsidRPr="00D97FEA" w14:paraId="680CDFC2"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6D3E4791"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Budget</w:t>
            </w:r>
          </w:p>
        </w:tc>
        <w:tc>
          <w:tcPr>
            <w:tcW w:w="9012" w:type="dxa"/>
            <w:tcMar>
              <w:top w:w="57" w:type="dxa"/>
              <w:left w:w="57" w:type="dxa"/>
              <w:bottom w:w="57" w:type="dxa"/>
              <w:right w:w="57" w:type="dxa"/>
            </w:tcMar>
          </w:tcPr>
          <w:p>
            <w:pPr>
              <w:spacing w:after="60" w:line="240" w:lineRule="auto"/>
            </w:pPr>
            <w:r>
              <w:rPr>
                <w:rFonts w:ascii="Arial" w:hAnsi="Arial"/>
                <w:sz w:val="18"/>
              </w:rPr>
              <w:t>Use annual undiscounted cash schedules. Include future replacement of installed devices, incremental capacity and local running costs. Do not add NWAU × NEP or QWAU × QEP to resource costs; current QEP remains unverified.</w:t>
            </w:r>
          </w:p>
        </w:tc>
      </w:tr>
      <w:tr w:rsidR="00D97FEA" w:rsidRPr="00D97FEA" w14:paraId="36870D3B"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50F0FC81"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lastRenderedPageBreak/>
              <w:t>FTE</w:t>
            </w:r>
          </w:p>
        </w:tc>
        <w:tc>
          <w:tcPr>
            <w:tcW w:w="9012" w:type="dxa"/>
            <w:tcMar>
              <w:top w:w="57" w:type="dxa"/>
              <w:left w:w="57" w:type="dxa"/>
              <w:bottom w:w="57" w:type="dxa"/>
              <w:right w:w="57" w:type="dxa"/>
            </w:tcMar>
          </w:tcPr>
          <w:p>
            <w:pPr>
              <w:spacing w:after="60" w:line="240" w:lineRule="auto"/>
            </w:pPr>
            <w:r>
              <w:rPr>
                <w:rFonts w:ascii="Arial" w:hAnsi="Arial"/>
                <w:sz w:val="18"/>
              </w:rPr>
              <w:t>Hub reference assumptions: 15 extra video minutes/call at $200/hour; $25 local coordination/call. Capacity scenario: 100 spare hours, then 200-hour/$40,000 blocks. These are explicit estimates, not an establishment request.</w:t>
            </w:r>
          </w:p>
        </w:tc>
      </w:tr>
      <w:tr w:rsidR="00D97FEA" w:rsidRPr="00D97FEA" w14:paraId="3C84FE9A"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761353DE"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Risk</w:t>
            </w:r>
          </w:p>
        </w:tc>
        <w:tc>
          <w:tcPr>
            <w:tcW w:w="9012" w:type="dxa"/>
            <w:tcMar>
              <w:top w:w="57" w:type="dxa"/>
              <w:left w:w="57" w:type="dxa"/>
              <w:bottom w:w="57" w:type="dxa"/>
              <w:right w:w="57" w:type="dxa"/>
            </w:tcMar>
          </w:tcPr>
          <w:p>
            <w:pPr>
              <w:spacing w:after="60" w:line="240" w:lineRule="auto"/>
            </w:pPr>
            <w:r>
              <w:rPr>
                <w:rFonts w:ascii="Arial" w:hAnsi="Arial"/>
                <w:sz w:val="18"/>
              </w:rPr>
              <w:t>Clinical-effect transportability, timing, hospital-price mapping and local resource fractions remain uncertain. Equal device effectiveness is a hypothesis; a cheaper kit is not proven clinically equivalent.</w:t>
            </w:r>
          </w:p>
        </w:tc>
      </w:tr>
      <w:tr w:rsidR="00D97FEA" w:rsidRPr="00D97FEA" w14:paraId="64D0EAFC"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55283236"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Legal</w:t>
            </w:r>
          </w:p>
        </w:tc>
        <w:tc>
          <w:tcPr>
            <w:tcW w:w="9012" w:type="dxa"/>
            <w:tcMar>
              <w:top w:w="57" w:type="dxa"/>
              <w:left w:w="57" w:type="dxa"/>
              <w:bottom w:w="57" w:type="dxa"/>
              <w:right w:w="57" w:type="dxa"/>
            </w:tcMar>
          </w:tcPr>
          <w:p>
            <w:pPr>
              <w:spacing w:after="60" w:line="240" w:lineRule="auto"/>
            </w:pPr>
            <w:r>
              <w:rPr>
                <w:rFonts w:ascii="Arial" w:hAnsi="Arial"/>
                <w:sz w:val="18"/>
              </w:rPr>
              <w:t>Existing aggregate-evidence modelling. Obtain institutional governance, authorship and data-rights decisions before publication. No ethics exemption or clinician sign-off is invented.</w:t>
            </w:r>
          </w:p>
        </w:tc>
      </w:tr>
      <w:tr w:rsidR="000C78F5" w:rsidRPr="00D97FEA" w14:paraId="15E31A32"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4EE035A7" w14:textId="7827F756" w:rsidR="000C78F5" w:rsidRPr="00A1783D" w:rsidRDefault="000C78F5" w:rsidP="00D97FEA">
            <w:pPr>
              <w:spacing w:after="60" w:line="240" w:lineRule="auto"/>
              <w:jc w:val="right"/>
              <w:rPr>
                <w:rFonts w:cstheme="minorHAnsi"/>
                <w:b/>
                <w:sz w:val="18"/>
                <w:szCs w:val="18"/>
              </w:rPr>
            </w:pPr>
            <w:r w:rsidRPr="00A1783D">
              <w:rPr>
                <w:rFonts w:cstheme="minorHAnsi" w:ascii="Arial" w:hAnsi="Arial"/>
                <w:b/>
                <w:sz w:val="18"/>
                <w:szCs w:val="18"/>
              </w:rPr>
              <w:t>ICT</w:t>
            </w:r>
          </w:p>
        </w:tc>
        <w:tc>
          <w:tcPr>
            <w:tcW w:w="9012" w:type="dxa"/>
            <w:tcMar>
              <w:top w:w="57" w:type="dxa"/>
              <w:left w:w="57" w:type="dxa"/>
              <w:bottom w:w="57" w:type="dxa"/>
              <w:right w:w="57" w:type="dxa"/>
            </w:tcMar>
          </w:tcPr>
          <w:p>
            <w:pPr>
              <w:spacing w:after="60" w:line="240" w:lineRule="auto"/>
            </w:pPr>
            <w:r>
              <w:rPr>
                <w:rFonts w:ascii="Arial" w:hAnsi="Arial"/>
                <w:sz w:val="18"/>
              </w:rPr>
              <w:t>Installation estimates and complete prototype cost require verification. Biomedical, infection-control, cyber, power, mounting and far-end-control eligibility remain separate from economic ranking.</w:t>
            </w:r>
          </w:p>
        </w:tc>
      </w:tr>
      <w:tr w:rsidR="00A1783D" w:rsidRPr="00D97FEA" w14:paraId="082C1F9D"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08CEACC3" w14:textId="79D64086" w:rsidR="00A1783D" w:rsidRPr="00A1783D" w:rsidRDefault="00A1783D" w:rsidP="00A1783D">
            <w:pPr>
              <w:spacing w:after="60" w:line="240" w:lineRule="auto"/>
              <w:jc w:val="right"/>
              <w:rPr>
                <w:rFonts w:cstheme="minorHAnsi"/>
                <w:b/>
                <w:sz w:val="18"/>
                <w:szCs w:val="18"/>
              </w:rPr>
            </w:pPr>
            <w:r>
              <w:rPr>
                <w:rFonts w:cstheme="minorHAnsi" w:ascii="Arial" w:hAnsi="Arial"/>
                <w:b/>
                <w:sz w:val="18"/>
                <w:szCs w:val="18"/>
              </w:rPr>
              <w:t>Impact on First People’s Health</w:t>
            </w:r>
          </w:p>
        </w:tc>
        <w:tc>
          <w:tcPr>
            <w:tcW w:w="9012" w:type="dxa"/>
            <w:tcMar>
              <w:top w:w="57" w:type="dxa"/>
              <w:left w:w="57" w:type="dxa"/>
              <w:bottom w:w="57" w:type="dxa"/>
              <w:right w:w="57" w:type="dxa"/>
            </w:tcMar>
          </w:tcPr>
          <w:p>
            <w:pPr>
              <w:spacing w:after="60" w:line="240" w:lineRule="auto"/>
            </w:pPr>
            <w:r>
              <w:rPr>
                <w:rFonts w:ascii="Arial" w:hAnsi="Arial"/>
                <w:sz w:val="18"/>
              </w:rPr>
              <w:t>Assess access and displacement separately. Do not apply a cost-only rule to clinical care or exclude additional survivors with morbidity. Lifetime health gains remain unquantified in the primary analysis.</w:t>
            </w:r>
          </w:p>
        </w:tc>
      </w:tr>
    </w:tbl>
    <w:p w14:paraId="3DD3B245" w14:textId="77777777" w:rsidR="00D97FEA" w:rsidRPr="00D97FEA" w:rsidRDefault="00D97FEA" w:rsidP="00D97FEA">
      <w:pPr>
        <w:spacing w:after="0" w:line="240" w:lineRule="auto"/>
        <w:rPr>
          <w:sz w:val="18"/>
          <w:szCs w:val="20"/>
        </w:rPr>
      </w:pPr>
    </w:p>
    <w:p w14:paraId="7D6AE10C" w14:textId="77777777" w:rsidR="00D97FEA" w:rsidRPr="00D97FEA" w:rsidRDefault="00D97FEA" w:rsidP="00D97FEA">
      <w:pPr>
        <w:spacing w:after="0" w:line="240" w:lineRule="auto"/>
        <w:rPr>
          <w:sz w:val="18"/>
          <w:szCs w:val="20"/>
        </w:rPr>
      </w:pPr>
    </w:p>
    <w:tbl>
      <w:tblPr>
        <w:tblStyle w:val="GridTable4-Accent61"/>
        <w:tblW w:w="5000" w:type="pct"/>
        <w:tblLook w:val="04A0" w:firstRow="1" w:lastRow="0" w:firstColumn="1" w:lastColumn="0" w:noHBand="0" w:noVBand="1"/>
      </w:tblPr>
      <w:tblGrid>
        <w:gridCol w:w="10194"/>
      </w:tblGrid>
      <w:tr w:rsidR="00D97FEA" w:rsidRPr="00D97FEA" w14:paraId="5FFDA010"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08487D5A" w14:textId="77777777" w:rsidR="00D97FEA" w:rsidRPr="00D97FEA" w:rsidRDefault="00D97FEA" w:rsidP="00D97FEA">
            <w:pPr>
              <w:keepNext/>
              <w:spacing w:after="60" w:line="240" w:lineRule="auto"/>
              <w:rPr>
                <w:sz w:val="18"/>
                <w:szCs w:val="18"/>
              </w:rPr>
            </w:pPr>
            <w:r w:rsidRPr="00D97FEA">
              <w:rPr>
                <w:rFonts w:ascii="Arial" w:hAnsi="Arial"/>
                <w:sz w:val="18"/>
                <w:szCs w:val="18"/>
              </w:rPr>
              <w:t>Strategic Plan alignment</w:t>
            </w:r>
          </w:p>
        </w:tc>
      </w:tr>
      <w:tr w:rsidR="00D97FEA" w:rsidRPr="00D97FEA" w14:paraId="44C5BAE6" w14:textId="77777777" w:rsidTr="00D97FEA">
        <w:trPr>
          <w:cnfStyle w:val="000000100000" w:firstRow="0" w:lastRow="0" w:firstColumn="0" w:lastColumn="0" w:oddVBand="0" w:evenVBand="0" w:oddHBand="1" w:evenHBand="0" w:firstRowFirstColumn="0" w:firstRowLastColumn="0" w:lastRowFirstColumn="0" w:lastRowLastColumn="0"/>
          <w:trHeight/>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60" w:line="240" w:lineRule="auto"/>
            </w:pPr>
            <w:r>
              <w:rPr>
                <w:rFonts w:ascii="Arial" w:hAnsi="Arial"/>
                <w:sz w:val="18"/>
              </w:rPr>
              <w:t>Our care: appropriate neonatal support. Our people: usable systems and explicit workload. First Peoples health: equitable access. Our sustainability: transparent resources, budgets and uncertainty.</w:t>
            </w:r>
          </w:p>
        </w:tc>
      </w:tr>
    </w:tbl>
    <w:p w14:paraId="709FDE72" w14:textId="77777777" w:rsidR="00D97FEA" w:rsidRPr="00D97FEA" w:rsidRDefault="00D97FEA" w:rsidP="00D97FEA">
      <w:pPr>
        <w:spacing w:after="0" w:line="240" w:lineRule="auto"/>
      </w:pPr>
    </w:p>
    <w:tbl>
      <w:tblPr>
        <w:tblStyle w:val="GridTable4-Accent61"/>
        <w:tblW w:w="5000" w:type="pct"/>
        <w:tblLook w:val="04A0" w:firstRow="1" w:lastRow="0" w:firstColumn="1" w:lastColumn="0" w:noHBand="0" w:noVBand="1"/>
      </w:tblPr>
      <w:tblGrid>
        <w:gridCol w:w="10194"/>
      </w:tblGrid>
      <w:tr w:rsidR="00D97FEA" w:rsidRPr="00D97FEA" w14:paraId="01735B65"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4025B3E6" w14:textId="77777777" w:rsidR="00D97FEA" w:rsidRPr="00D97FEA" w:rsidRDefault="00D97FEA" w:rsidP="00D97FEA">
            <w:pPr>
              <w:keepNext/>
              <w:spacing w:after="60" w:line="240" w:lineRule="auto"/>
              <w:rPr>
                <w:sz w:val="18"/>
                <w:szCs w:val="18"/>
              </w:rPr>
            </w:pPr>
            <w:r w:rsidRPr="00D97FEA">
              <w:rPr>
                <w:rFonts w:ascii="Arial" w:hAnsi="Arial"/>
                <w:sz w:val="18"/>
                <w:szCs w:val="18"/>
              </w:rPr>
              <w:t>Attachment/s</w:t>
            </w:r>
          </w:p>
        </w:tc>
      </w:tr>
      <w:tr w:rsidR="00D97FEA" w:rsidRPr="00D97FEA" w14:paraId="15A87126" w14:textId="77777777" w:rsidTr="00D9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60" w:line="240" w:lineRule="auto"/>
            </w:pPr>
            <w:r>
              <w:rPr>
                <w:rFonts w:ascii="Arial" w:hAnsi="Arial"/>
                <w:sz w:val="18"/>
              </w:rPr>
              <w:t>1. v6 methods/results supplement. 2. Updated tables, figures and results workbook. 3. CHHHS presentation. 4. Versioned repository, source verification register, validation status and reviewer briefs. M6: model outputs; E6: evidence audit; V6: validation record. Historical v5 results are retained but superseded for current decisions.</w:t>
            </w:r>
          </w:p>
        </w:tc>
      </w:tr>
    </w:tbl>
    <w:sectPr w:rsidR="004F48EE" w:rsidRPr="00D97FEA" w:rsidSect="00CC50E1">
      <w:headerReference w:type="default" r:id="rId8"/>
      <w:footerReference w:type="default" r:id="rId9"/>
      <w:headerReference w:type="first" r:id="rId10"/>
      <w:footerReference w:type="first" r:id="rId11"/>
      <w:pgSz w:w="11906" w:h="16838" w:code="9"/>
      <w:pgMar w:top="1701" w:right="851" w:bottom="1418" w:left="851" w:header="34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D551C" w14:textId="77777777" w:rsidR="00842598" w:rsidRDefault="00842598" w:rsidP="009A3EAD">
      <w:r>
        <w:separator/>
      </w:r>
    </w:p>
  </w:endnote>
  <w:endnote w:type="continuationSeparator" w:id="0">
    <w:p w14:paraId="58A64C3F" w14:textId="77777777" w:rsidR="00842598" w:rsidRDefault="00842598" w:rsidP="009A3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E464F" w14:textId="350A0AD6" w:rsidR="00EB341B" w:rsidRPr="00894D5A" w:rsidRDefault="00894D5A" w:rsidP="000A6AA6">
    <w:pPr>
      <w:pStyle w:val="Caption"/>
    </w:pPr>
    <w:r w:rsidRPr="00FE7D13">
      <w:t xml:space="preserve">Page </w:t>
    </w:r>
    <w:r w:rsidRPr="00FE7D13">
      <w:fldChar w:fldCharType="begin"/>
    </w:r>
    <w:r w:rsidRPr="00FE7D13">
      <w:instrText xml:space="preserve"> PAGE </w:instrText>
    </w:r>
    <w:r w:rsidRPr="00FE7D13">
      <w:fldChar w:fldCharType="separate"/>
    </w:r>
    <w:r w:rsidR="00F529FB">
      <w:rPr>
        <w:noProof/>
      </w:rPr>
      <w:t>2</w:t>
    </w:r>
    <w:r w:rsidRPr="00FE7D13">
      <w:fldChar w:fldCharType="end"/>
    </w:r>
    <w:r w:rsidRPr="00FE7D13">
      <w:t xml:space="preserve"> of </w:t>
    </w:r>
    <w:fldSimple w:instr=" NUMPAGES ">
      <w:r w:rsidR="00F529FB">
        <w:rPr>
          <w:noProof/>
        </w:rPr>
        <w:t>2</w:t>
      </w:r>
    </w:fldSimple>
    <w:r w:rsidR="00960FB0">
      <w:rPr>
        <w:noProof/>
      </w:rPr>
      <w:drawing>
        <wp:anchor distT="0" distB="0" distL="114300" distR="114300" simplePos="0" relativeHeight="251665408" behindDoc="1" locked="0" layoutInCell="1" allowOverlap="1" wp14:anchorId="5D4E7959" wp14:editId="5F6313AA">
          <wp:simplePos x="0" y="0"/>
          <wp:positionH relativeFrom="page">
            <wp:align>right</wp:align>
          </wp:positionH>
          <wp:positionV relativeFrom="page">
            <wp:align>bottom</wp:align>
          </wp:positionV>
          <wp:extent cx="15102000" cy="925200"/>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91302"/>
                  <a:stretch/>
                </pic:blipFill>
                <pic:spPr bwMode="auto">
                  <a:xfrm>
                    <a:off x="0" y="0"/>
                    <a:ext cx="15102000" cy="92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BCA03" w14:textId="0E35B031" w:rsidR="00EB341B" w:rsidRPr="00894D5A" w:rsidRDefault="0013687C" w:rsidP="00894D5A">
    <w:pPr>
      <w:pStyle w:val="Caption"/>
      <w:ind w:left="-284"/>
    </w:pPr>
    <w:r>
      <w:rPr>
        <w:noProof/>
      </w:rPr>
      <w:drawing>
        <wp:inline distT="0" distB="0" distL="0" distR="0" wp14:anchorId="60F59678" wp14:editId="0B2947DF">
          <wp:extent cx="3785190" cy="363672"/>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10753" cy="366128"/>
                  </a:xfrm>
                  <a:prstGeom prst="rect">
                    <a:avLst/>
                  </a:prstGeom>
                  <a:noFill/>
                  <a:ln>
                    <a:noFill/>
                  </a:ln>
                </pic:spPr>
              </pic:pic>
            </a:graphicData>
          </a:graphic>
        </wp:inline>
      </w:drawing>
    </w:r>
    <w:r w:rsidR="00960FB0">
      <w:rPr>
        <w:noProof/>
      </w:rPr>
      <w:drawing>
        <wp:anchor distT="0" distB="0" distL="114300" distR="114300" simplePos="0" relativeHeight="251663360" behindDoc="1" locked="0" layoutInCell="1" allowOverlap="1" wp14:anchorId="083FBB6B" wp14:editId="5573EE65">
          <wp:simplePos x="0" y="0"/>
          <wp:positionH relativeFrom="page">
            <wp:align>right</wp:align>
          </wp:positionH>
          <wp:positionV relativeFrom="page">
            <wp:align>bottom</wp:align>
          </wp:positionV>
          <wp:extent cx="15102000" cy="925200"/>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
                    <a:extLst>
                      <a:ext uri="{28A0092B-C50C-407E-A947-70E740481C1C}">
                        <a14:useLocalDpi xmlns:a14="http://schemas.microsoft.com/office/drawing/2010/main" val="0"/>
                      </a:ext>
                    </a:extLst>
                  </a:blip>
                  <a:srcRect t="91302"/>
                  <a:stretch/>
                </pic:blipFill>
                <pic:spPr bwMode="auto">
                  <a:xfrm>
                    <a:off x="0" y="0"/>
                    <a:ext cx="15102000" cy="92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E042E" w14:textId="77777777" w:rsidR="00842598" w:rsidRDefault="00842598" w:rsidP="009A3EAD">
      <w:r>
        <w:separator/>
      </w:r>
    </w:p>
  </w:footnote>
  <w:footnote w:type="continuationSeparator" w:id="0">
    <w:p w14:paraId="1BC8A6D7" w14:textId="77777777" w:rsidR="00842598" w:rsidRDefault="00842598" w:rsidP="009A3E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9C4E7" w14:textId="61585C45" w:rsidR="00960FB0" w:rsidRDefault="00960FB0">
    <w:pPr>
      <w:pStyle w:val="Header"/>
    </w:pPr>
    <w:r>
      <w:rPr>
        <w:noProof/>
      </w:rPr>
      <w:drawing>
        <wp:anchor distT="0" distB="0" distL="114300" distR="114300" simplePos="0" relativeHeight="251661312" behindDoc="1" locked="0" layoutInCell="1" allowOverlap="1" wp14:anchorId="15D8BB8E" wp14:editId="12351182">
          <wp:simplePos x="0" y="0"/>
          <wp:positionH relativeFrom="page">
            <wp:align>right</wp:align>
          </wp:positionH>
          <wp:positionV relativeFrom="page">
            <wp:align>top</wp:align>
          </wp:positionV>
          <wp:extent cx="15102000" cy="892800"/>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b="91657"/>
                  <a:stretch/>
                </pic:blipFill>
                <pic:spPr bwMode="auto">
                  <a:xfrm>
                    <a:off x="0" y="0"/>
                    <a:ext cx="15102000" cy="89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8C77E" w14:textId="773683C0" w:rsidR="00EB341B" w:rsidRDefault="007432E8" w:rsidP="009A3EAD">
    <w:r>
      <w:rPr>
        <w:noProof/>
      </w:rPr>
      <w:drawing>
        <wp:anchor distT="0" distB="0" distL="114300" distR="114300" simplePos="0" relativeHeight="251658240" behindDoc="1" locked="0" layoutInCell="1" allowOverlap="1" wp14:anchorId="4710FBB7" wp14:editId="410482BB">
          <wp:simplePos x="0" y="0"/>
          <wp:positionH relativeFrom="page">
            <wp:align>right</wp:align>
          </wp:positionH>
          <wp:positionV relativeFrom="page">
            <wp:align>top</wp:align>
          </wp:positionV>
          <wp:extent cx="15102000" cy="1645200"/>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ersion1.png"/>
                  <pic:cNvPicPr/>
                </pic:nvPicPr>
                <pic:blipFill rotWithShape="1">
                  <a:blip r:embed="rId1">
                    <a:extLst>
                      <a:ext uri="{28A0092B-C50C-407E-A947-70E740481C1C}">
                        <a14:useLocalDpi xmlns:a14="http://schemas.microsoft.com/office/drawing/2010/main" val="0"/>
                      </a:ext>
                    </a:extLst>
                  </a:blip>
                  <a:srcRect b="84602"/>
                  <a:stretch/>
                </pic:blipFill>
                <pic:spPr bwMode="auto">
                  <a:xfrm>
                    <a:off x="0" y="0"/>
                    <a:ext cx="15102000" cy="1645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0FB0">
      <w:rPr>
        <w:noProof/>
      </w:rPr>
      <w:drawing>
        <wp:anchor distT="0" distB="0" distL="114300" distR="114300" simplePos="0" relativeHeight="251659264" behindDoc="1" locked="0" layoutInCell="1" allowOverlap="1" wp14:anchorId="28B23226" wp14:editId="01694D72">
          <wp:simplePos x="0" y="0"/>
          <wp:positionH relativeFrom="margin">
            <wp:align>left</wp:align>
          </wp:positionH>
          <wp:positionV relativeFrom="page">
            <wp:posOffset>360045</wp:posOffset>
          </wp:positionV>
          <wp:extent cx="2350800" cy="432000"/>
          <wp:effectExtent l="0" t="0" r="0" b="6350"/>
          <wp:wrapTight wrapText="bothSides">
            <wp:wrapPolygon edited="0">
              <wp:start x="0" y="0"/>
              <wp:lineTo x="0" y="20012"/>
              <wp:lineTo x="2276" y="20965"/>
              <wp:lineTo x="3151" y="20965"/>
              <wp:lineTo x="17854" y="20965"/>
              <wp:lineTo x="19780" y="20012"/>
              <wp:lineTo x="19254" y="15247"/>
              <wp:lineTo x="21355" y="10482"/>
              <wp:lineTo x="21355" y="0"/>
              <wp:lineTo x="0" y="0"/>
            </wp:wrapPolygon>
          </wp:wrapTight>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50800" cy="43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4429"/>
    <w:multiLevelType w:val="hybridMultilevel"/>
    <w:tmpl w:val="36E40F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9547F74"/>
    <w:multiLevelType w:val="hybridMultilevel"/>
    <w:tmpl w:val="9B7461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BF4B5B"/>
    <w:multiLevelType w:val="hybridMultilevel"/>
    <w:tmpl w:val="2AF095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5C1619"/>
    <w:multiLevelType w:val="hybridMultilevel"/>
    <w:tmpl w:val="F49C97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2DF0B9B"/>
    <w:multiLevelType w:val="hybridMultilevel"/>
    <w:tmpl w:val="BD7E1BE6"/>
    <w:lvl w:ilvl="0" w:tplc="0B9CDB26">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EBD3B93"/>
    <w:multiLevelType w:val="hybridMultilevel"/>
    <w:tmpl w:val="483A4C00"/>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C53798C"/>
    <w:multiLevelType w:val="hybridMultilevel"/>
    <w:tmpl w:val="A8543D6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DFB7C4C"/>
    <w:multiLevelType w:val="hybridMultilevel"/>
    <w:tmpl w:val="C58AB4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79C018D"/>
    <w:multiLevelType w:val="hybridMultilevel"/>
    <w:tmpl w:val="752225CA"/>
    <w:lvl w:ilvl="0" w:tplc="25E4EA78">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BA71AD2"/>
    <w:multiLevelType w:val="hybridMultilevel"/>
    <w:tmpl w:val="643009CA"/>
    <w:lvl w:ilvl="0" w:tplc="0C09000D">
      <w:start w:val="1"/>
      <w:numFmt w:val="bullet"/>
      <w:lvlText w:val=""/>
      <w:lvlJc w:val="left"/>
      <w:pPr>
        <w:ind w:left="720" w:hanging="360"/>
      </w:pPr>
      <w:rPr>
        <w:rFonts w:ascii="Wingdings" w:hAnsi="Wingding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75600205">
    <w:abstractNumId w:val="1"/>
  </w:num>
  <w:num w:numId="2" w16cid:durableId="1032999209">
    <w:abstractNumId w:val="5"/>
  </w:num>
  <w:num w:numId="3" w16cid:durableId="799303867">
    <w:abstractNumId w:val="0"/>
  </w:num>
  <w:num w:numId="4" w16cid:durableId="957564642">
    <w:abstractNumId w:val="9"/>
  </w:num>
  <w:num w:numId="5" w16cid:durableId="1580477875">
    <w:abstractNumId w:val="7"/>
  </w:num>
  <w:num w:numId="6" w16cid:durableId="1932927594">
    <w:abstractNumId w:val="8"/>
  </w:num>
  <w:num w:numId="7" w16cid:durableId="586891597">
    <w:abstractNumId w:val="3"/>
  </w:num>
  <w:num w:numId="8" w16cid:durableId="549654892">
    <w:abstractNumId w:val="4"/>
  </w:num>
  <w:num w:numId="9" w16cid:durableId="1589313931">
    <w:abstractNumId w:val="2"/>
  </w:num>
  <w:num w:numId="10" w16cid:durableId="20957411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LockTheme/>
  <w:styleLockQFSet/>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8EE"/>
    <w:rsid w:val="000A6AA6"/>
    <w:rsid w:val="000B3E4F"/>
    <w:rsid w:val="000C78F5"/>
    <w:rsid w:val="00124667"/>
    <w:rsid w:val="0013687C"/>
    <w:rsid w:val="001544C2"/>
    <w:rsid w:val="001861CC"/>
    <w:rsid w:val="001976E0"/>
    <w:rsid w:val="001B6E92"/>
    <w:rsid w:val="002075B3"/>
    <w:rsid w:val="00246C30"/>
    <w:rsid w:val="00250BD9"/>
    <w:rsid w:val="002B79EB"/>
    <w:rsid w:val="002D6463"/>
    <w:rsid w:val="002F4C39"/>
    <w:rsid w:val="0030110A"/>
    <w:rsid w:val="00343084"/>
    <w:rsid w:val="00361A91"/>
    <w:rsid w:val="00371831"/>
    <w:rsid w:val="00373466"/>
    <w:rsid w:val="003A5C46"/>
    <w:rsid w:val="003B70B8"/>
    <w:rsid w:val="003E74BC"/>
    <w:rsid w:val="004749F8"/>
    <w:rsid w:val="004D0432"/>
    <w:rsid w:val="004F48EE"/>
    <w:rsid w:val="00513527"/>
    <w:rsid w:val="00525C8A"/>
    <w:rsid w:val="0052699D"/>
    <w:rsid w:val="005276A1"/>
    <w:rsid w:val="00534DB3"/>
    <w:rsid w:val="005428FC"/>
    <w:rsid w:val="00575706"/>
    <w:rsid w:val="005B35E7"/>
    <w:rsid w:val="005D72C4"/>
    <w:rsid w:val="005D7EA8"/>
    <w:rsid w:val="00607B17"/>
    <w:rsid w:val="00635118"/>
    <w:rsid w:val="006C3117"/>
    <w:rsid w:val="00721BC3"/>
    <w:rsid w:val="00721C70"/>
    <w:rsid w:val="00735B07"/>
    <w:rsid w:val="007432E8"/>
    <w:rsid w:val="00751F41"/>
    <w:rsid w:val="007D5D34"/>
    <w:rsid w:val="00842598"/>
    <w:rsid w:val="0088078B"/>
    <w:rsid w:val="00894D5A"/>
    <w:rsid w:val="009162D2"/>
    <w:rsid w:val="00925E47"/>
    <w:rsid w:val="00950DE1"/>
    <w:rsid w:val="00960FB0"/>
    <w:rsid w:val="0096143E"/>
    <w:rsid w:val="009A3EAD"/>
    <w:rsid w:val="009B6F4A"/>
    <w:rsid w:val="009C5D54"/>
    <w:rsid w:val="00A06E62"/>
    <w:rsid w:val="00A1783D"/>
    <w:rsid w:val="00A25B72"/>
    <w:rsid w:val="00A42DC1"/>
    <w:rsid w:val="00AA1882"/>
    <w:rsid w:val="00AC4223"/>
    <w:rsid w:val="00AD48AA"/>
    <w:rsid w:val="00B25DDE"/>
    <w:rsid w:val="00C12181"/>
    <w:rsid w:val="00C370A6"/>
    <w:rsid w:val="00CC50E1"/>
    <w:rsid w:val="00CD1C13"/>
    <w:rsid w:val="00CD5660"/>
    <w:rsid w:val="00D0549C"/>
    <w:rsid w:val="00D603DF"/>
    <w:rsid w:val="00D860A4"/>
    <w:rsid w:val="00D97FEA"/>
    <w:rsid w:val="00DA4412"/>
    <w:rsid w:val="00DF36A8"/>
    <w:rsid w:val="00E11738"/>
    <w:rsid w:val="00EB1E3F"/>
    <w:rsid w:val="00EB341B"/>
    <w:rsid w:val="00EF1E1B"/>
    <w:rsid w:val="00F07B23"/>
    <w:rsid w:val="00F529FB"/>
    <w:rsid w:val="00F74C39"/>
    <w:rsid w:val="00F80E38"/>
    <w:rsid w:val="00FB4E1B"/>
    <w:rsid w:val="00FD78FB"/>
    <w:rsid w:val="00FF61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E49D"/>
  <w15:chartTrackingRefBased/>
  <w15:docId w15:val="{8CBBED74-AE56-4FAD-B387-3B0FC45EE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semiHidden="1" w:uiPriority="22" w:qFormat="1"/>
    <w:lsdException w:name="Emphasis" w:locked="1"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locked="1" w:semiHidden="1" w:uiPriority="29"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527"/>
    <w:rPr>
      <w:sz w:val="20"/>
    </w:rPr>
  </w:style>
  <w:style w:type="paragraph" w:styleId="Heading1">
    <w:name w:val="heading 1"/>
    <w:basedOn w:val="Normal"/>
    <w:next w:val="Normal"/>
    <w:link w:val="Heading1Char"/>
    <w:uiPriority w:val="9"/>
    <w:qFormat/>
    <w:rsid w:val="005B35E7"/>
    <w:pPr>
      <w:keepNext/>
      <w:keepLines/>
      <w:spacing w:before="240" w:after="0"/>
      <w:outlineLvl w:val="0"/>
    </w:pPr>
    <w:rPr>
      <w:rFonts w:asciiTheme="majorHAnsi" w:eastAsiaTheme="majorEastAsia" w:hAnsiTheme="majorHAnsi" w:cstheme="majorBidi"/>
      <w:b/>
      <w:color w:val="368794" w:themeColor="accent4"/>
      <w:sz w:val="40"/>
      <w:szCs w:val="40"/>
    </w:rPr>
  </w:style>
  <w:style w:type="paragraph" w:styleId="Heading2">
    <w:name w:val="heading 2"/>
    <w:basedOn w:val="Normal"/>
    <w:next w:val="Normal"/>
    <w:link w:val="Heading2Char"/>
    <w:uiPriority w:val="9"/>
    <w:qFormat/>
    <w:rsid w:val="005B35E7"/>
    <w:pPr>
      <w:keepNext/>
      <w:keepLines/>
      <w:spacing w:before="40" w:after="0"/>
      <w:outlineLvl w:val="1"/>
    </w:pPr>
    <w:rPr>
      <w:rFonts w:asciiTheme="majorHAnsi" w:eastAsiaTheme="majorEastAsia" w:hAnsiTheme="majorHAnsi" w:cstheme="majorBidi"/>
      <w:b/>
      <w:color w:val="368794" w:themeColor="accent4"/>
      <w:sz w:val="32"/>
      <w:szCs w:val="32"/>
    </w:rPr>
  </w:style>
  <w:style w:type="paragraph" w:styleId="Heading3">
    <w:name w:val="heading 3"/>
    <w:basedOn w:val="Normal"/>
    <w:next w:val="Normal"/>
    <w:link w:val="Heading3Char"/>
    <w:uiPriority w:val="9"/>
    <w:qFormat/>
    <w:rsid w:val="005B35E7"/>
    <w:pPr>
      <w:keepNext/>
      <w:keepLines/>
      <w:spacing w:before="40" w:after="0"/>
      <w:outlineLvl w:val="2"/>
    </w:pPr>
    <w:rPr>
      <w:rFonts w:asciiTheme="majorHAnsi" w:eastAsiaTheme="majorEastAsia" w:hAnsiTheme="majorHAnsi" w:cstheme="majorBidi"/>
      <w:b/>
      <w:color w:val="368794" w:themeColor="accent4"/>
      <w:sz w:val="28"/>
      <w:szCs w:val="28"/>
    </w:rPr>
  </w:style>
  <w:style w:type="paragraph" w:styleId="Heading4">
    <w:name w:val="heading 4"/>
    <w:basedOn w:val="Normal"/>
    <w:next w:val="Normal"/>
    <w:link w:val="Heading4Char"/>
    <w:uiPriority w:val="9"/>
    <w:qFormat/>
    <w:rsid w:val="005B35E7"/>
    <w:pPr>
      <w:keepNext/>
      <w:keepLines/>
      <w:spacing w:before="40" w:after="0"/>
      <w:outlineLvl w:val="3"/>
    </w:pPr>
    <w:rPr>
      <w:rFonts w:asciiTheme="majorHAnsi" w:eastAsiaTheme="majorEastAsia" w:hAnsiTheme="majorHAnsi" w:cstheme="majorBidi"/>
      <w:i/>
      <w:iCs/>
      <w:color w:val="368794" w:themeColor="accent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F48EE"/>
    <w:pPr>
      <w:tabs>
        <w:tab w:val="center" w:pos="4513"/>
        <w:tab w:val="right" w:pos="9026"/>
      </w:tabs>
      <w:spacing w:after="0" w:line="240" w:lineRule="auto"/>
    </w:pPr>
  </w:style>
  <w:style w:type="character" w:customStyle="1" w:styleId="FooterChar">
    <w:name w:val="Footer Char"/>
    <w:basedOn w:val="DefaultParagraphFont"/>
    <w:link w:val="Footer"/>
    <w:semiHidden/>
    <w:rsid w:val="00513527"/>
    <w:rPr>
      <w:sz w:val="20"/>
    </w:rPr>
  </w:style>
  <w:style w:type="table" w:styleId="TableGrid">
    <w:name w:val="Table Grid"/>
    <w:basedOn w:val="TableNormal"/>
    <w:uiPriority w:val="59"/>
    <w:rsid w:val="004F4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F48EE"/>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tcPr>
    </w:tblStylePr>
    <w:tblStylePr w:type="lastRow">
      <w:rPr>
        <w:b/>
        <w:bCs/>
      </w:rPr>
      <w:tblPr/>
      <w:tcPr>
        <w:tcBorders>
          <w:top w:val="double" w:sz="4" w:space="0" w:color="7F7F7F"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character" w:customStyle="1" w:styleId="Heading1Char">
    <w:name w:val="Heading 1 Char"/>
    <w:basedOn w:val="DefaultParagraphFont"/>
    <w:link w:val="Heading1"/>
    <w:uiPriority w:val="9"/>
    <w:rsid w:val="005B35E7"/>
    <w:rPr>
      <w:rFonts w:asciiTheme="majorHAnsi" w:eastAsiaTheme="majorEastAsia" w:hAnsiTheme="majorHAnsi" w:cstheme="majorBidi"/>
      <w:b/>
      <w:color w:val="368794" w:themeColor="accent4"/>
      <w:sz w:val="40"/>
      <w:szCs w:val="40"/>
    </w:rPr>
  </w:style>
  <w:style w:type="character" w:customStyle="1" w:styleId="Heading2Char">
    <w:name w:val="Heading 2 Char"/>
    <w:basedOn w:val="DefaultParagraphFont"/>
    <w:link w:val="Heading2"/>
    <w:uiPriority w:val="9"/>
    <w:rsid w:val="00513527"/>
    <w:rPr>
      <w:rFonts w:asciiTheme="majorHAnsi" w:eastAsiaTheme="majorEastAsia" w:hAnsiTheme="majorHAnsi" w:cstheme="majorBidi"/>
      <w:b/>
      <w:color w:val="368794" w:themeColor="accent4"/>
      <w:sz w:val="32"/>
      <w:szCs w:val="32"/>
    </w:rPr>
  </w:style>
  <w:style w:type="character" w:customStyle="1" w:styleId="Heading3Char">
    <w:name w:val="Heading 3 Char"/>
    <w:basedOn w:val="DefaultParagraphFont"/>
    <w:link w:val="Heading3"/>
    <w:uiPriority w:val="9"/>
    <w:rsid w:val="00513527"/>
    <w:rPr>
      <w:rFonts w:asciiTheme="majorHAnsi" w:eastAsiaTheme="majorEastAsia" w:hAnsiTheme="majorHAnsi" w:cstheme="majorBidi"/>
      <w:b/>
      <w:color w:val="368794" w:themeColor="accent4"/>
      <w:sz w:val="28"/>
      <w:szCs w:val="28"/>
    </w:rPr>
  </w:style>
  <w:style w:type="paragraph" w:styleId="Title">
    <w:name w:val="Title"/>
    <w:basedOn w:val="Normal"/>
    <w:next w:val="Normal"/>
    <w:link w:val="TitleChar"/>
    <w:uiPriority w:val="10"/>
    <w:qFormat/>
    <w:rsid w:val="0088078B"/>
    <w:pPr>
      <w:spacing w:after="0" w:line="240" w:lineRule="auto"/>
      <w:contextualSpacing/>
    </w:pPr>
    <w:rPr>
      <w:rFonts w:asciiTheme="majorHAnsi" w:eastAsiaTheme="majorEastAsia" w:hAnsiTheme="majorHAnsi" w:cstheme="majorBidi"/>
      <w:b/>
      <w:color w:val="82B06B" w:themeColor="accent2"/>
      <w:spacing w:val="-10"/>
      <w:kern w:val="28"/>
      <w:sz w:val="90"/>
      <w:szCs w:val="90"/>
    </w:rPr>
  </w:style>
  <w:style w:type="character" w:customStyle="1" w:styleId="TitleChar">
    <w:name w:val="Title Char"/>
    <w:basedOn w:val="DefaultParagraphFont"/>
    <w:link w:val="Title"/>
    <w:uiPriority w:val="10"/>
    <w:rsid w:val="0088078B"/>
    <w:rPr>
      <w:rFonts w:asciiTheme="majorHAnsi" w:eastAsiaTheme="majorEastAsia" w:hAnsiTheme="majorHAnsi" w:cstheme="majorBidi"/>
      <w:b/>
      <w:color w:val="82B06B" w:themeColor="accent2"/>
      <w:spacing w:val="-10"/>
      <w:kern w:val="28"/>
      <w:sz w:val="90"/>
      <w:szCs w:val="90"/>
    </w:rPr>
  </w:style>
  <w:style w:type="character" w:customStyle="1" w:styleId="Heading4Char">
    <w:name w:val="Heading 4 Char"/>
    <w:basedOn w:val="DefaultParagraphFont"/>
    <w:link w:val="Heading4"/>
    <w:uiPriority w:val="9"/>
    <w:rsid w:val="00513527"/>
    <w:rPr>
      <w:rFonts w:asciiTheme="majorHAnsi" w:eastAsiaTheme="majorEastAsia" w:hAnsiTheme="majorHAnsi" w:cstheme="majorBidi"/>
      <w:i/>
      <w:iCs/>
      <w:color w:val="368794" w:themeColor="accent4"/>
      <w:sz w:val="28"/>
    </w:rPr>
  </w:style>
  <w:style w:type="paragraph" w:styleId="ListParagraph">
    <w:name w:val="List Paragraph"/>
    <w:basedOn w:val="Normal"/>
    <w:uiPriority w:val="34"/>
    <w:qFormat/>
    <w:rsid w:val="00EB341B"/>
    <w:pPr>
      <w:ind w:left="720"/>
      <w:contextualSpacing/>
    </w:pPr>
  </w:style>
  <w:style w:type="paragraph" w:styleId="BalloonText">
    <w:name w:val="Balloon Text"/>
    <w:basedOn w:val="Normal"/>
    <w:link w:val="BalloonTextChar"/>
    <w:uiPriority w:val="99"/>
    <w:semiHidden/>
    <w:unhideWhenUsed/>
    <w:rsid w:val="005276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76A1"/>
    <w:rPr>
      <w:rFonts w:ascii="Segoe UI" w:hAnsi="Segoe UI" w:cs="Segoe UI"/>
      <w:sz w:val="18"/>
      <w:szCs w:val="18"/>
    </w:rPr>
  </w:style>
  <w:style w:type="table" w:styleId="GridTable4-Accent2">
    <w:name w:val="Grid Table 4 Accent 2"/>
    <w:basedOn w:val="TableNormal"/>
    <w:uiPriority w:val="49"/>
    <w:rsid w:val="005B35E7"/>
    <w:pPr>
      <w:spacing w:after="0" w:line="240" w:lineRule="auto"/>
    </w:pPr>
    <w:tblPr>
      <w:tblStyleRowBandSize w:val="1"/>
      <w:tblStyleColBandSize w:val="1"/>
      <w:tblBorders>
        <w:top w:val="single" w:sz="4" w:space="0" w:color="B3CFA6" w:themeColor="accent2" w:themeTint="99"/>
        <w:left w:val="single" w:sz="4" w:space="0" w:color="B3CFA6" w:themeColor="accent2" w:themeTint="99"/>
        <w:bottom w:val="single" w:sz="4" w:space="0" w:color="B3CFA6" w:themeColor="accent2" w:themeTint="99"/>
        <w:right w:val="single" w:sz="4" w:space="0" w:color="B3CFA6" w:themeColor="accent2" w:themeTint="99"/>
        <w:insideH w:val="single" w:sz="4" w:space="0" w:color="B3CFA6" w:themeColor="accent2" w:themeTint="99"/>
        <w:insideV w:val="single" w:sz="4" w:space="0" w:color="B3CFA6" w:themeColor="accent2" w:themeTint="99"/>
      </w:tblBorders>
    </w:tblPr>
    <w:tblStylePr w:type="firstRow">
      <w:rPr>
        <w:b/>
        <w:bCs/>
        <w:color w:val="FFFFFF" w:themeColor="background1"/>
      </w:rPr>
      <w:tblPr/>
      <w:tcPr>
        <w:tcBorders>
          <w:top w:val="single" w:sz="4" w:space="0" w:color="82B06B" w:themeColor="accent2"/>
          <w:left w:val="single" w:sz="4" w:space="0" w:color="82B06B" w:themeColor="accent2"/>
          <w:bottom w:val="single" w:sz="4" w:space="0" w:color="82B06B" w:themeColor="accent2"/>
          <w:right w:val="single" w:sz="4" w:space="0" w:color="82B06B" w:themeColor="accent2"/>
          <w:insideH w:val="nil"/>
          <w:insideV w:val="nil"/>
        </w:tcBorders>
        <w:shd w:val="clear" w:color="auto" w:fill="82B06B" w:themeFill="accent2"/>
      </w:tcPr>
    </w:tblStylePr>
    <w:tblStylePr w:type="lastRow">
      <w:rPr>
        <w:b/>
        <w:bCs/>
      </w:rPr>
      <w:tblPr/>
      <w:tcPr>
        <w:tcBorders>
          <w:top w:val="double" w:sz="4" w:space="0" w:color="82B06B" w:themeColor="accent2"/>
        </w:tcBorders>
      </w:tcPr>
    </w:tblStylePr>
    <w:tblStylePr w:type="firstCol">
      <w:rPr>
        <w:b/>
        <w:bCs/>
      </w:rPr>
    </w:tblStylePr>
    <w:tblStylePr w:type="lastCol">
      <w:rPr>
        <w:b/>
        <w:bCs/>
      </w:rPr>
    </w:tblStylePr>
    <w:tblStylePr w:type="band1Vert">
      <w:tblPr/>
      <w:tcPr>
        <w:shd w:val="clear" w:color="auto" w:fill="E5EFE1" w:themeFill="accent2" w:themeFillTint="33"/>
      </w:tcPr>
    </w:tblStylePr>
    <w:tblStylePr w:type="band1Horz">
      <w:tblPr/>
      <w:tcPr>
        <w:shd w:val="clear" w:color="auto" w:fill="E5EFE1" w:themeFill="accent2" w:themeFillTint="33"/>
      </w:tcPr>
    </w:tblStylePr>
  </w:style>
  <w:style w:type="table" w:styleId="GridTable4-Accent3">
    <w:name w:val="Grid Table 4 Accent 3"/>
    <w:basedOn w:val="TableNormal"/>
    <w:uiPriority w:val="49"/>
    <w:rsid w:val="005B35E7"/>
    <w:pPr>
      <w:spacing w:after="0" w:line="240" w:lineRule="auto"/>
    </w:pPr>
    <w:tblPr>
      <w:tblStyleRowBandSize w:val="1"/>
      <w:tblStyleColBandSize w:val="1"/>
      <w:tblBorders>
        <w:top w:val="single" w:sz="4" w:space="0" w:color="FCDBA9" w:themeColor="accent3" w:themeTint="99"/>
        <w:left w:val="single" w:sz="4" w:space="0" w:color="FCDBA9" w:themeColor="accent3" w:themeTint="99"/>
        <w:bottom w:val="single" w:sz="4" w:space="0" w:color="FCDBA9" w:themeColor="accent3" w:themeTint="99"/>
        <w:right w:val="single" w:sz="4" w:space="0" w:color="FCDBA9" w:themeColor="accent3" w:themeTint="99"/>
        <w:insideH w:val="single" w:sz="4" w:space="0" w:color="FCDBA9" w:themeColor="accent3" w:themeTint="99"/>
        <w:insideV w:val="single" w:sz="4" w:space="0" w:color="FCDBA9" w:themeColor="accent3" w:themeTint="99"/>
      </w:tblBorders>
    </w:tblPr>
    <w:tblStylePr w:type="firstRow">
      <w:rPr>
        <w:b/>
        <w:bCs/>
        <w:color w:val="FFFFFF" w:themeColor="background1"/>
      </w:rPr>
      <w:tblPr/>
      <w:tcPr>
        <w:tcBorders>
          <w:top w:val="single" w:sz="4" w:space="0" w:color="FAC470" w:themeColor="accent3"/>
          <w:left w:val="single" w:sz="4" w:space="0" w:color="FAC470" w:themeColor="accent3"/>
          <w:bottom w:val="single" w:sz="4" w:space="0" w:color="FAC470" w:themeColor="accent3"/>
          <w:right w:val="single" w:sz="4" w:space="0" w:color="FAC470" w:themeColor="accent3"/>
          <w:insideH w:val="nil"/>
          <w:insideV w:val="nil"/>
        </w:tcBorders>
        <w:shd w:val="clear" w:color="auto" w:fill="FAC470" w:themeFill="accent3"/>
      </w:tcPr>
    </w:tblStylePr>
    <w:tblStylePr w:type="lastRow">
      <w:rPr>
        <w:b/>
        <w:bCs/>
      </w:rPr>
      <w:tblPr/>
      <w:tcPr>
        <w:tcBorders>
          <w:top w:val="double" w:sz="4" w:space="0" w:color="FAC470" w:themeColor="accent3"/>
        </w:tcBorders>
      </w:tcPr>
    </w:tblStylePr>
    <w:tblStylePr w:type="firstCol">
      <w:rPr>
        <w:b/>
        <w:bCs/>
      </w:rPr>
    </w:tblStylePr>
    <w:tblStylePr w:type="lastCol">
      <w:rPr>
        <w:b/>
        <w:bCs/>
      </w:rPr>
    </w:tblStylePr>
    <w:tblStylePr w:type="band1Vert">
      <w:tblPr/>
      <w:tcPr>
        <w:shd w:val="clear" w:color="auto" w:fill="FEF3E2" w:themeFill="accent3" w:themeFillTint="33"/>
      </w:tcPr>
    </w:tblStylePr>
    <w:tblStylePr w:type="band1Horz">
      <w:tblPr/>
      <w:tcPr>
        <w:shd w:val="clear" w:color="auto" w:fill="FEF3E2" w:themeFill="accent3" w:themeFillTint="33"/>
      </w:tcPr>
    </w:tblStylePr>
  </w:style>
  <w:style w:type="table" w:styleId="GridTable4-Accent4">
    <w:name w:val="Grid Table 4 Accent 4"/>
    <w:basedOn w:val="TableNormal"/>
    <w:uiPriority w:val="49"/>
    <w:rsid w:val="005B35E7"/>
    <w:pPr>
      <w:spacing w:after="0" w:line="240" w:lineRule="auto"/>
    </w:pPr>
    <w:tblPr>
      <w:tblStyleRowBandSize w:val="1"/>
      <w:tblStyleColBandSize w:val="1"/>
      <w:tblBorders>
        <w:top w:val="single" w:sz="4" w:space="0" w:color="77C1CD" w:themeColor="accent4" w:themeTint="99"/>
        <w:left w:val="single" w:sz="4" w:space="0" w:color="77C1CD" w:themeColor="accent4" w:themeTint="99"/>
        <w:bottom w:val="single" w:sz="4" w:space="0" w:color="77C1CD" w:themeColor="accent4" w:themeTint="99"/>
        <w:right w:val="single" w:sz="4" w:space="0" w:color="77C1CD" w:themeColor="accent4" w:themeTint="99"/>
        <w:insideH w:val="single" w:sz="4" w:space="0" w:color="77C1CD" w:themeColor="accent4" w:themeTint="99"/>
        <w:insideV w:val="single" w:sz="4" w:space="0" w:color="77C1CD" w:themeColor="accent4" w:themeTint="99"/>
      </w:tblBorders>
    </w:tblPr>
    <w:tblStylePr w:type="firstRow">
      <w:rPr>
        <w:b/>
        <w:bCs/>
        <w:color w:val="FFFFFF" w:themeColor="background1"/>
      </w:rPr>
      <w:tblPr/>
      <w:tcPr>
        <w:tcBorders>
          <w:top w:val="single" w:sz="4" w:space="0" w:color="368794" w:themeColor="accent4"/>
          <w:left w:val="single" w:sz="4" w:space="0" w:color="368794" w:themeColor="accent4"/>
          <w:bottom w:val="single" w:sz="4" w:space="0" w:color="368794" w:themeColor="accent4"/>
          <w:right w:val="single" w:sz="4" w:space="0" w:color="368794" w:themeColor="accent4"/>
          <w:insideH w:val="nil"/>
          <w:insideV w:val="nil"/>
        </w:tcBorders>
        <w:shd w:val="clear" w:color="auto" w:fill="368794" w:themeFill="accent4"/>
      </w:tcPr>
    </w:tblStylePr>
    <w:tblStylePr w:type="lastRow">
      <w:rPr>
        <w:b/>
        <w:bCs/>
      </w:rPr>
      <w:tblPr/>
      <w:tcPr>
        <w:tcBorders>
          <w:top w:val="double" w:sz="4" w:space="0" w:color="368794" w:themeColor="accent4"/>
        </w:tcBorders>
      </w:tcPr>
    </w:tblStylePr>
    <w:tblStylePr w:type="firstCol">
      <w:rPr>
        <w:b/>
        <w:bCs/>
      </w:rPr>
    </w:tblStylePr>
    <w:tblStylePr w:type="lastCol">
      <w:rPr>
        <w:b/>
        <w:bCs/>
      </w:rPr>
    </w:tblStylePr>
    <w:tblStylePr w:type="band1Vert">
      <w:tblPr/>
      <w:tcPr>
        <w:shd w:val="clear" w:color="auto" w:fill="D1EAEE" w:themeFill="accent4" w:themeFillTint="33"/>
      </w:tcPr>
    </w:tblStylePr>
    <w:tblStylePr w:type="band1Horz">
      <w:tblPr/>
      <w:tcPr>
        <w:shd w:val="clear" w:color="auto" w:fill="D1EAEE" w:themeFill="accent4" w:themeFillTint="33"/>
      </w:tcPr>
    </w:tblStylePr>
  </w:style>
  <w:style w:type="paragraph" w:styleId="Caption">
    <w:name w:val="caption"/>
    <w:basedOn w:val="Normal"/>
    <w:next w:val="Normal"/>
    <w:semiHidden/>
    <w:qFormat/>
    <w:rsid w:val="00894D5A"/>
    <w:pPr>
      <w:spacing w:after="0" w:line="240" w:lineRule="auto"/>
    </w:pPr>
    <w:rPr>
      <w:rFonts w:ascii="Arial" w:eastAsia="Times New Roman" w:hAnsi="Arial" w:cs="Times New Roman"/>
      <w:iCs/>
      <w:sz w:val="15"/>
      <w:szCs w:val="15"/>
      <w:lang w:eastAsia="en-AU"/>
    </w:rPr>
  </w:style>
  <w:style w:type="paragraph" w:styleId="Header">
    <w:name w:val="header"/>
    <w:basedOn w:val="Normal"/>
    <w:link w:val="HeaderChar"/>
    <w:uiPriority w:val="99"/>
    <w:unhideWhenUsed/>
    <w:rsid w:val="001976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6E0"/>
    <w:rPr>
      <w:sz w:val="20"/>
    </w:rPr>
  </w:style>
  <w:style w:type="character" w:styleId="Hyperlink">
    <w:name w:val="Hyperlink"/>
    <w:basedOn w:val="DefaultParagraphFont"/>
    <w:uiPriority w:val="99"/>
    <w:unhideWhenUsed/>
    <w:rsid w:val="00D860A4"/>
    <w:rPr>
      <w:color w:val="61854F" w:themeColor="accent1"/>
      <w:u w:val="single"/>
    </w:rPr>
  </w:style>
  <w:style w:type="character" w:styleId="UnresolvedMention">
    <w:name w:val="Unresolved Mention"/>
    <w:basedOn w:val="DefaultParagraphFont"/>
    <w:uiPriority w:val="99"/>
    <w:semiHidden/>
    <w:unhideWhenUsed/>
    <w:rsid w:val="00D860A4"/>
    <w:rPr>
      <w:color w:val="605E5C"/>
      <w:shd w:val="clear" w:color="auto" w:fill="E1DFDD"/>
    </w:rPr>
  </w:style>
  <w:style w:type="table" w:customStyle="1" w:styleId="GridTable4-Accent61">
    <w:name w:val="Grid Table 4 - Accent 61"/>
    <w:basedOn w:val="TableNormal"/>
    <w:next w:val="GridTable4-Accent6"/>
    <w:uiPriority w:val="49"/>
    <w:rsid w:val="00D97FEA"/>
    <w:pPr>
      <w:spacing w:after="0" w:line="240" w:lineRule="auto"/>
    </w:pPr>
    <w:tblPr>
      <w:tblStyleRowBandSize w:val="1"/>
      <w:tblStyleCol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vAlign w:val="center"/>
    </w:tc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vAlign w:val="center"/>
      </w:tcPr>
    </w:tblStylePr>
    <w:tblStylePr w:type="lastRow">
      <w:rPr>
        <w:b w:val="0"/>
        <w:bCs/>
      </w:rPr>
      <w:tblPr/>
      <w:tcPr>
        <w:tcBorders>
          <w:top w:val="double" w:sz="4" w:space="0" w:color="7F7F7F" w:themeColor="accent6"/>
        </w:tcBorders>
      </w:tcPr>
    </w:tblStylePr>
    <w:tblStylePr w:type="firstCol">
      <w:rPr>
        <w:b w:val="0"/>
        <w:bCs/>
      </w:rPr>
    </w:tblStylePr>
    <w:tblStylePr w:type="lastCol">
      <w:rPr>
        <w:b w:val="0"/>
        <w:bCs/>
      </w:rPr>
    </w:tblStylePr>
    <w:tblStylePr w:type="band1Vert">
      <w:tblPr/>
      <w:tcPr>
        <w:shd w:val="clear" w:color="auto" w:fill="E5E5E5" w:themeFill="accent6" w:themeFillTint="33"/>
      </w:tcPr>
    </w:tblStylePr>
    <w:tblStylePr w:type="band1Horz">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il"/>
          <w:tr2bl w:val="nil"/>
        </w:tcBorders>
      </w:tcPr>
    </w:tblStylePr>
    <w:tblStylePr w:type="band2Horz">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cBorders>
      </w:tcPr>
    </w:tblStylePr>
  </w:style>
  <w:style w:type="table" w:styleId="TableGridLight">
    <w:name w:val="Grid Table Light"/>
    <w:basedOn w:val="TableNormal"/>
    <w:uiPriority w:val="40"/>
    <w:rsid w:val="00D97F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B25DDE"/>
    <w:pPr>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4024DF666F34792B6E6121E45E22857"/>
        <w:category>
          <w:name w:val="General"/>
          <w:gallery w:val="placeholder"/>
        </w:category>
        <w:types>
          <w:type w:val="bbPlcHdr"/>
        </w:types>
        <w:behaviors>
          <w:behavior w:val="content"/>
        </w:behaviors>
        <w:guid w:val="{CE5C2305-90DE-43B3-A6C5-745187972858}"/>
      </w:docPartPr>
      <w:docPartBody>
        <w:p w:rsidR="00E17EE2" w:rsidRDefault="007D5F05" w:rsidP="007D5F05">
          <w:pPr>
            <w:pStyle w:val="04024DF666F34792B6E6121E45E22857"/>
          </w:pPr>
          <w:r w:rsidRPr="00D65C78">
            <w:rPr>
              <w:rStyle w:val="PlaceholderText"/>
            </w:rPr>
            <w:t>Click or tap to enter a date.</w:t>
          </w:r>
        </w:p>
      </w:docPartBody>
    </w:docPart>
    <w:docPart>
      <w:docPartPr>
        <w:name w:val="760CECCA096D490A880790A2019FC004"/>
        <w:category>
          <w:name w:val="General"/>
          <w:gallery w:val="placeholder"/>
        </w:category>
        <w:types>
          <w:type w:val="bbPlcHdr"/>
        </w:types>
        <w:behaviors>
          <w:behavior w:val="content"/>
        </w:behaviors>
        <w:guid w:val="{13D67667-D5C2-488B-AB50-2A8FA06CB6A9}"/>
      </w:docPartPr>
      <w:docPartBody>
        <w:p w:rsidR="00E17EE2" w:rsidRDefault="007D5F05" w:rsidP="007D5F05">
          <w:pPr>
            <w:pStyle w:val="760CECCA096D490A880790A2019FC004"/>
          </w:pPr>
          <w:r w:rsidRPr="00C036E3">
            <w:rPr>
              <w:rStyle w:val="PlaceholderText"/>
            </w:rPr>
            <w:t>Choose an item.</w:t>
          </w:r>
        </w:p>
      </w:docPartBody>
    </w:docPart>
    <w:docPart>
      <w:docPartPr>
        <w:name w:val="176E077064B749EB82D370C814BDD69D"/>
        <w:category>
          <w:name w:val="General"/>
          <w:gallery w:val="placeholder"/>
        </w:category>
        <w:types>
          <w:type w:val="bbPlcHdr"/>
        </w:types>
        <w:behaviors>
          <w:behavior w:val="content"/>
        </w:behaviors>
        <w:guid w:val="{22325C54-245D-40A6-BA40-1313761D4731}"/>
      </w:docPartPr>
      <w:docPartBody>
        <w:p w:rsidR="00E17EE2" w:rsidRDefault="007D5F05" w:rsidP="007D5F05">
          <w:pPr>
            <w:pStyle w:val="176E077064B749EB82D370C814BDD69D"/>
          </w:pPr>
          <w:r w:rsidRPr="00C036E3">
            <w:rPr>
              <w:rStyle w:val="PlaceholderText"/>
            </w:rPr>
            <w:t>Choose an item.</w:t>
          </w:r>
        </w:p>
      </w:docPartBody>
    </w:docPart>
    <w:docPart>
      <w:docPartPr>
        <w:name w:val="B6248C8A0D5B43018C88F5EE309F94AF"/>
        <w:category>
          <w:name w:val="General"/>
          <w:gallery w:val="placeholder"/>
        </w:category>
        <w:types>
          <w:type w:val="bbPlcHdr"/>
        </w:types>
        <w:behaviors>
          <w:behavior w:val="content"/>
        </w:behaviors>
        <w:guid w:val="{6EBC426B-91A4-477B-9330-47B0730C4ACD}"/>
      </w:docPartPr>
      <w:docPartBody>
        <w:p w:rsidR="00E17EE2" w:rsidRDefault="007D5F05" w:rsidP="007D5F05">
          <w:pPr>
            <w:pStyle w:val="B6248C8A0D5B43018C88F5EE309F94AF"/>
          </w:pPr>
          <w:r w:rsidRPr="00C036E3">
            <w:rPr>
              <w:rStyle w:val="PlaceholderText"/>
            </w:rPr>
            <w:t>Choose an item.</w:t>
          </w:r>
        </w:p>
      </w:docPartBody>
    </w:docPart>
    <w:docPart>
      <w:docPartPr>
        <w:name w:val="BC0EEDC90BB1436BB93B7C9388DA17BF"/>
        <w:category>
          <w:name w:val="General"/>
          <w:gallery w:val="placeholder"/>
        </w:category>
        <w:types>
          <w:type w:val="bbPlcHdr"/>
        </w:types>
        <w:behaviors>
          <w:behavior w:val="content"/>
        </w:behaviors>
        <w:guid w:val="{9412684F-0F8D-4140-BB1A-CF9BBE2F932A}"/>
      </w:docPartPr>
      <w:docPartBody>
        <w:p w:rsidR="00E17EE2" w:rsidRDefault="007D5F05" w:rsidP="007D5F05">
          <w:pPr>
            <w:pStyle w:val="BC0EEDC90BB1436BB93B7C9388DA17BF"/>
          </w:pPr>
          <w:r w:rsidRPr="00C036E3">
            <w:rPr>
              <w:rStyle w:val="PlaceholderText"/>
            </w:rPr>
            <w:t>Choose an item.</w:t>
          </w:r>
        </w:p>
      </w:docPartBody>
    </w:docPart>
    <w:docPart>
      <w:docPartPr>
        <w:name w:val="5ADB61D8F9CF4A5FB81CAC66DC3F037F"/>
        <w:category>
          <w:name w:val="General"/>
          <w:gallery w:val="placeholder"/>
        </w:category>
        <w:types>
          <w:type w:val="bbPlcHdr"/>
        </w:types>
        <w:behaviors>
          <w:behavior w:val="content"/>
        </w:behaviors>
        <w:guid w:val="{38A90519-17E5-4A83-BBFA-B92E0E72BDAC}"/>
      </w:docPartPr>
      <w:docPartBody>
        <w:p w:rsidR="00E17EE2" w:rsidRDefault="007D5F05" w:rsidP="007D5F05">
          <w:pPr>
            <w:pStyle w:val="5ADB61D8F9CF4A5FB81CAC66DC3F037F"/>
          </w:pPr>
          <w:r w:rsidRPr="00C036E3">
            <w:rPr>
              <w:rStyle w:val="PlaceholderText"/>
            </w:rPr>
            <w:t>Choose an item.</w:t>
          </w:r>
        </w:p>
      </w:docPartBody>
    </w:docPart>
    <w:docPart>
      <w:docPartPr>
        <w:name w:val="AB77017AC9A3430B832ACF112BAE7F04"/>
        <w:category>
          <w:name w:val="General"/>
          <w:gallery w:val="placeholder"/>
        </w:category>
        <w:types>
          <w:type w:val="bbPlcHdr"/>
        </w:types>
        <w:behaviors>
          <w:behavior w:val="content"/>
        </w:behaviors>
        <w:guid w:val="{B8B90003-2DDC-43B7-BE09-0B5008B25556}"/>
      </w:docPartPr>
      <w:docPartBody>
        <w:p w:rsidR="00E17EE2" w:rsidRDefault="007D5F05" w:rsidP="007D5F05">
          <w:pPr>
            <w:pStyle w:val="AB77017AC9A3430B832ACF112BAE7F04"/>
          </w:pPr>
          <w:r w:rsidRPr="00C036E3">
            <w:rPr>
              <w:rStyle w:val="PlaceholderText"/>
            </w:rPr>
            <w:t>Choose an item.</w:t>
          </w:r>
        </w:p>
      </w:docPartBody>
    </w:docPart>
    <w:docPart>
      <w:docPartPr>
        <w:name w:val="7B48427B856F453BBB056F6DB104C98B"/>
        <w:category>
          <w:name w:val="General"/>
          <w:gallery w:val="placeholder"/>
        </w:category>
        <w:types>
          <w:type w:val="bbPlcHdr"/>
        </w:types>
        <w:behaviors>
          <w:behavior w:val="content"/>
        </w:behaviors>
        <w:guid w:val="{A7211C67-365A-4301-A384-D22EF1FE398E}"/>
      </w:docPartPr>
      <w:docPartBody>
        <w:p w:rsidR="00E17EE2" w:rsidRDefault="007D5F05" w:rsidP="007D5F05">
          <w:pPr>
            <w:pStyle w:val="7B48427B856F453BBB056F6DB104C98B"/>
          </w:pPr>
          <w:r w:rsidRPr="00C036E3">
            <w:rPr>
              <w:rStyle w:val="PlaceholderText"/>
            </w:rPr>
            <w:t>Choose an item.</w:t>
          </w:r>
        </w:p>
      </w:docPartBody>
    </w:docPart>
    <w:docPart>
      <w:docPartPr>
        <w:name w:val="E45EA76F19CF44C9BD4AFE21BB7FB319"/>
        <w:category>
          <w:name w:val="General"/>
          <w:gallery w:val="placeholder"/>
        </w:category>
        <w:types>
          <w:type w:val="bbPlcHdr"/>
        </w:types>
        <w:behaviors>
          <w:behavior w:val="content"/>
        </w:behaviors>
        <w:guid w:val="{4BB6A3B8-5B62-4E40-B057-4F928E3B1330}"/>
      </w:docPartPr>
      <w:docPartBody>
        <w:p w:rsidR="00E17EE2" w:rsidRDefault="007D5F05" w:rsidP="007D5F05">
          <w:pPr>
            <w:pStyle w:val="E45EA76F19CF44C9BD4AFE21BB7FB319"/>
          </w:pPr>
          <w:r w:rsidRPr="00390590">
            <w:rPr>
              <w:rStyle w:val="PlaceholderText"/>
              <w:rFonts w:asciiTheme="majorHAnsi" w:hAnsiTheme="majorHAnsi" w:cstheme="majorHAnsi"/>
            </w:rPr>
            <w:t>Choose an item.</w:t>
          </w:r>
        </w:p>
      </w:docPartBody>
    </w:docPart>
    <w:docPart>
      <w:docPartPr>
        <w:name w:val="EB7122B78589419FB73B50A184BA2CB1"/>
        <w:category>
          <w:name w:val="General"/>
          <w:gallery w:val="placeholder"/>
        </w:category>
        <w:types>
          <w:type w:val="bbPlcHdr"/>
        </w:types>
        <w:behaviors>
          <w:behavior w:val="content"/>
        </w:behaviors>
        <w:guid w:val="{FFF317B9-BA35-41FF-BB07-CD406C1424FF}"/>
      </w:docPartPr>
      <w:docPartBody>
        <w:p w:rsidR="00E17EE2" w:rsidRDefault="007D5F05" w:rsidP="007D5F05">
          <w:pPr>
            <w:pStyle w:val="EB7122B78589419FB73B50A184BA2CB1"/>
          </w:pPr>
          <w:r w:rsidRPr="00FB040E">
            <w:rPr>
              <w:rStyle w:val="PlaceholderText"/>
            </w:rPr>
            <w:t>Click or tap here to enter text.</w:t>
          </w:r>
        </w:p>
      </w:docPartBody>
    </w:docPart>
    <w:docPart>
      <w:docPartPr>
        <w:name w:val="CF9729AC184E43E8B74BB521B66A7D22"/>
        <w:category>
          <w:name w:val="General"/>
          <w:gallery w:val="placeholder"/>
        </w:category>
        <w:types>
          <w:type w:val="bbPlcHdr"/>
        </w:types>
        <w:behaviors>
          <w:behavior w:val="content"/>
        </w:behaviors>
        <w:guid w:val="{E70B5267-4D3D-4F10-A5A7-6C9A3BC11B1E}"/>
      </w:docPartPr>
      <w:docPartBody>
        <w:p w:rsidR="00E17EE2" w:rsidRDefault="007D5F05" w:rsidP="007D5F05">
          <w:pPr>
            <w:pStyle w:val="CF9729AC184E43E8B74BB521B66A7D22"/>
          </w:pPr>
          <w:r w:rsidRPr="00C036E3">
            <w:rPr>
              <w:rStyle w:val="PlaceholderText"/>
            </w:rPr>
            <w:t>Choose an item.</w:t>
          </w:r>
        </w:p>
      </w:docPartBody>
    </w:docPart>
    <w:docPart>
      <w:docPartPr>
        <w:name w:val="D3D06CBA1CD848C4921638209B62A34E"/>
        <w:category>
          <w:name w:val="General"/>
          <w:gallery w:val="placeholder"/>
        </w:category>
        <w:types>
          <w:type w:val="bbPlcHdr"/>
        </w:types>
        <w:behaviors>
          <w:behavior w:val="content"/>
        </w:behaviors>
        <w:guid w:val="{389F9E93-6ED4-432F-875F-08BF9C6E6D1B}"/>
      </w:docPartPr>
      <w:docPartBody>
        <w:p w:rsidR="00E17EE2" w:rsidRDefault="007D5F05" w:rsidP="007D5F05">
          <w:pPr>
            <w:pStyle w:val="D3D06CBA1CD848C4921638209B62A34E"/>
          </w:pPr>
          <w:r w:rsidRPr="00C036E3">
            <w:rPr>
              <w:rStyle w:val="PlaceholderText"/>
            </w:rPr>
            <w:t>Choose an item.</w:t>
          </w:r>
        </w:p>
      </w:docPartBody>
    </w:docPart>
    <w:docPart>
      <w:docPartPr>
        <w:name w:val="BB42D9430F4948DEBC028998FF855630"/>
        <w:category>
          <w:name w:val="General"/>
          <w:gallery w:val="placeholder"/>
        </w:category>
        <w:types>
          <w:type w:val="bbPlcHdr"/>
        </w:types>
        <w:behaviors>
          <w:behavior w:val="content"/>
        </w:behaviors>
        <w:guid w:val="{4A2E20C7-BA5F-43D7-9829-135E495D3BBC}"/>
      </w:docPartPr>
      <w:docPartBody>
        <w:p w:rsidR="00E17EE2" w:rsidRDefault="007D5F05" w:rsidP="007D5F05">
          <w:pPr>
            <w:pStyle w:val="BB42D9430F4948DEBC028998FF855630"/>
          </w:pPr>
          <w:r w:rsidRPr="00C036E3">
            <w:rPr>
              <w:rStyle w:val="PlaceholderText"/>
            </w:rPr>
            <w:t>Choose an item.</w:t>
          </w:r>
        </w:p>
      </w:docPartBody>
    </w:docPart>
    <w:docPart>
      <w:docPartPr>
        <w:name w:val="71734E0F601747D8B4F7DA6BDD3181F7"/>
        <w:category>
          <w:name w:val="General"/>
          <w:gallery w:val="placeholder"/>
        </w:category>
        <w:types>
          <w:type w:val="bbPlcHdr"/>
        </w:types>
        <w:behaviors>
          <w:behavior w:val="content"/>
        </w:behaviors>
        <w:guid w:val="{1B5D10C7-4559-458F-A33D-1C30B9965CDB}"/>
      </w:docPartPr>
      <w:docPartBody>
        <w:p w:rsidR="00E17EE2" w:rsidRDefault="007D5F05" w:rsidP="007D5F05">
          <w:pPr>
            <w:pStyle w:val="71734E0F601747D8B4F7DA6BDD3181F7"/>
          </w:pPr>
          <w:r w:rsidRPr="00C036E3">
            <w:rPr>
              <w:rStyle w:val="PlaceholderText"/>
            </w:rPr>
            <w:t>Choose an item.</w:t>
          </w:r>
        </w:p>
      </w:docPartBody>
    </w:docPart>
    <w:docPart>
      <w:docPartPr>
        <w:name w:val="A0B8DA403D8A46C78B5BB340C8FACE93"/>
        <w:category>
          <w:name w:val="General"/>
          <w:gallery w:val="placeholder"/>
        </w:category>
        <w:types>
          <w:type w:val="bbPlcHdr"/>
        </w:types>
        <w:behaviors>
          <w:behavior w:val="content"/>
        </w:behaviors>
        <w:guid w:val="{437D4B1D-4AF6-408E-B2EA-364AE204A584}"/>
      </w:docPartPr>
      <w:docPartBody>
        <w:p w:rsidR="005E1EBA" w:rsidRDefault="00227AEC" w:rsidP="00227AEC">
          <w:pPr>
            <w:pStyle w:val="A0B8DA403D8A46C78B5BB340C8FACE93"/>
          </w:pPr>
          <w:r w:rsidRPr="00FB040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F05"/>
    <w:rsid w:val="001D0A4A"/>
    <w:rsid w:val="00227AEC"/>
    <w:rsid w:val="005A4030"/>
    <w:rsid w:val="005E1EBA"/>
    <w:rsid w:val="007D5F05"/>
    <w:rsid w:val="00C65923"/>
    <w:rsid w:val="00E17E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7AEC"/>
    <w:rPr>
      <w:color w:val="808080"/>
    </w:rPr>
  </w:style>
  <w:style w:type="paragraph" w:customStyle="1" w:styleId="04024DF666F34792B6E6121E45E22857">
    <w:name w:val="04024DF666F34792B6E6121E45E22857"/>
    <w:rsid w:val="007D5F05"/>
  </w:style>
  <w:style w:type="paragraph" w:customStyle="1" w:styleId="760CECCA096D490A880790A2019FC004">
    <w:name w:val="760CECCA096D490A880790A2019FC004"/>
    <w:rsid w:val="007D5F05"/>
  </w:style>
  <w:style w:type="paragraph" w:customStyle="1" w:styleId="176E077064B749EB82D370C814BDD69D">
    <w:name w:val="176E077064B749EB82D370C814BDD69D"/>
    <w:rsid w:val="007D5F05"/>
  </w:style>
  <w:style w:type="paragraph" w:customStyle="1" w:styleId="B6248C8A0D5B43018C88F5EE309F94AF">
    <w:name w:val="B6248C8A0D5B43018C88F5EE309F94AF"/>
    <w:rsid w:val="007D5F05"/>
  </w:style>
  <w:style w:type="paragraph" w:customStyle="1" w:styleId="BC0EEDC90BB1436BB93B7C9388DA17BF">
    <w:name w:val="BC0EEDC90BB1436BB93B7C9388DA17BF"/>
    <w:rsid w:val="007D5F05"/>
  </w:style>
  <w:style w:type="paragraph" w:customStyle="1" w:styleId="5ADB61D8F9CF4A5FB81CAC66DC3F037F">
    <w:name w:val="5ADB61D8F9CF4A5FB81CAC66DC3F037F"/>
    <w:rsid w:val="007D5F05"/>
  </w:style>
  <w:style w:type="paragraph" w:customStyle="1" w:styleId="AB77017AC9A3430B832ACF112BAE7F04">
    <w:name w:val="AB77017AC9A3430B832ACF112BAE7F04"/>
    <w:rsid w:val="007D5F05"/>
  </w:style>
  <w:style w:type="paragraph" w:customStyle="1" w:styleId="7B48427B856F453BBB056F6DB104C98B">
    <w:name w:val="7B48427B856F453BBB056F6DB104C98B"/>
    <w:rsid w:val="007D5F05"/>
  </w:style>
  <w:style w:type="paragraph" w:customStyle="1" w:styleId="E45EA76F19CF44C9BD4AFE21BB7FB319">
    <w:name w:val="E45EA76F19CF44C9BD4AFE21BB7FB319"/>
    <w:rsid w:val="007D5F05"/>
  </w:style>
  <w:style w:type="paragraph" w:customStyle="1" w:styleId="EB7122B78589419FB73B50A184BA2CB1">
    <w:name w:val="EB7122B78589419FB73B50A184BA2CB1"/>
    <w:rsid w:val="007D5F05"/>
  </w:style>
  <w:style w:type="paragraph" w:customStyle="1" w:styleId="CF9729AC184E43E8B74BB521B66A7D22">
    <w:name w:val="CF9729AC184E43E8B74BB521B66A7D22"/>
    <w:rsid w:val="007D5F05"/>
  </w:style>
  <w:style w:type="paragraph" w:customStyle="1" w:styleId="D3D06CBA1CD848C4921638209B62A34E">
    <w:name w:val="D3D06CBA1CD848C4921638209B62A34E"/>
    <w:rsid w:val="007D5F05"/>
  </w:style>
  <w:style w:type="paragraph" w:customStyle="1" w:styleId="BB42D9430F4948DEBC028998FF855630">
    <w:name w:val="BB42D9430F4948DEBC028998FF855630"/>
    <w:rsid w:val="007D5F05"/>
  </w:style>
  <w:style w:type="paragraph" w:customStyle="1" w:styleId="71734E0F601747D8B4F7DA6BDD3181F7">
    <w:name w:val="71734E0F601747D8B4F7DA6BDD3181F7"/>
    <w:rsid w:val="007D5F05"/>
  </w:style>
  <w:style w:type="paragraph" w:customStyle="1" w:styleId="A0B8DA403D8A46C78B5BB340C8FACE93">
    <w:name w:val="A0B8DA403D8A46C78B5BB340C8FACE93"/>
    <w:rsid w:val="00227A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Rainforest to the Reef">
      <a:dk1>
        <a:sysClr val="windowText" lastClr="000000"/>
      </a:dk1>
      <a:lt1>
        <a:sysClr val="window" lastClr="FFFFFF"/>
      </a:lt1>
      <a:dk2>
        <a:srgbClr val="368794"/>
      </a:dk2>
      <a:lt2>
        <a:srgbClr val="FEF3E2"/>
      </a:lt2>
      <a:accent1>
        <a:srgbClr val="61854F"/>
      </a:accent1>
      <a:accent2>
        <a:srgbClr val="82B06B"/>
      </a:accent2>
      <a:accent3>
        <a:srgbClr val="FAC470"/>
      </a:accent3>
      <a:accent4>
        <a:srgbClr val="368794"/>
      </a:accent4>
      <a:accent5>
        <a:srgbClr val="4BACC6"/>
      </a:accent5>
      <a:accent6>
        <a:srgbClr val="7F7F7F"/>
      </a:accent6>
      <a:hlink>
        <a:srgbClr val="FAC470"/>
      </a:hlink>
      <a:folHlink>
        <a:srgbClr val="E8637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A80CF-EF3E-4353-B7D6-46E4560C6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 Schreiweis</dc:creator>
  <cp:keywords/>
  <dc:description/>
  <cp:lastModifiedBy>Jannine Giddins</cp:lastModifiedBy>
  <cp:revision>3</cp:revision>
  <cp:lastPrinted>2021-01-06T01:19:00Z</cp:lastPrinted>
  <dcterms:created xsi:type="dcterms:W3CDTF">2023-07-12T02:03:00Z</dcterms:created>
  <dcterms:modified xsi:type="dcterms:W3CDTF">2023-10-05T03:01:00Z</dcterms:modified>
</cp:coreProperties>
</file>