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F7A19" w14:textId="77777777" w:rsidR="00D97FEA" w:rsidRPr="00D97FEA" w:rsidRDefault="00D97FEA" w:rsidP="00D97FEA">
      <w:pPr>
        <w:spacing w:after="0" w:line="240" w:lineRule="auto"/>
      </w:pPr>
      <w:r>
        <w:rPr>
          <w:rFonts w:ascii="Arial" w:hAnsi="Arial"/>
          <w:sz w:val="18"/>
        </w:rPr>
        <w:t>Meeting date  [insert meeting date]</w:t>
      </w:r>
    </w:p>
    <w:sdt>
      <w:sdtPr>
        <w:rPr>
          <w:rStyle w:val="Heading1Char"/>
        </w:rPr>
        <w:id w:val="1606767437"/>
        <w:placeholder>
          <w:docPart w:val="760CECCA096D490A880790A2019FC004"/>
        </w:placeholder>
        <w:comboBox>
          <w:listItem w:displayText="&lt;select document type&gt;" w:value="&lt;select document type&gt;"/>
          <w:listItem w:displayText="Board Agenda Paper " w:value="Board Agenda Paper "/>
          <w:listItem w:displayText="ELC Agenda Paper" w:value="ELC Agenda Paper"/>
          <w:listItem w:displayText="Committee Agenda Item" w:value="Committee Agenda Item"/>
        </w:comboBox>
      </w:sdtPr>
      <w:sdtContent>
        <w:p w14:paraId="35FBFC4E" w14:textId="77777777" w:rsidR="00D97FEA" w:rsidRPr="00D97FEA" w:rsidRDefault="00D97FEA" w:rsidP="00D97FEA">
          <w:pPr>
            <w:spacing w:after="0" w:line="240" w:lineRule="auto"/>
            <w:contextualSpacing/>
            <w:rPr>
              <w:rStyle w:val="Heading1Char"/>
            </w:rPr>
          </w:pPr>
          <w:r w:rsidRPr="00D97FEA">
            <w:rPr>
              <w:rStyle w:val="Heading1Char"/>
            </w:rPr>
            <w:t>&lt;select document type&gt;</w:t>
          </w:r>
        </w:p>
      </w:sdtContent>
    </w:sdt>
    <w:p w14:paraId="1F0B137B" w14:textId="77777777" w:rsidR="00D97FEA" w:rsidRPr="00D97FEA" w:rsidRDefault="00D97FEA" w:rsidP="00D97FEA">
      <w:pPr>
        <w:pStyle w:val="Heading2"/>
      </w:pPr>
      <w:r>
        <w:rPr>
          <w:rFonts w:ascii="Arial" w:hAnsi="Arial"/>
          <w:b/>
          <w:sz w:val="18"/>
        </w:rPr>
        <w:t>Panda Vision neonatal telehealth: model-based economic evaluation plan</w:t>
      </w:r>
    </w:p>
    <w:tbl>
      <w:tblPr>
        <w:tblStyle w:val="GridTable4-Accent61"/>
        <w:tblW w:w="5000" w:type="pct"/>
        <w:tblLook w:val="04A0" w:firstRow="1" w:lastRow="0" w:firstColumn="1" w:lastColumn="0" w:noHBand="0" w:noVBand="1"/>
      </w:tblPr>
      <w:tblGrid>
        <w:gridCol w:w="10194"/>
      </w:tblGrid>
      <w:tr w:rsidR="00D97FEA" w:rsidRPr="00D97FEA" w14:paraId="4F944B24"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06F712AE" w14:textId="77777777" w:rsidR="00D97FEA" w:rsidRPr="00D97FEA" w:rsidRDefault="00D97FEA" w:rsidP="00D97FEA">
            <w:pPr>
              <w:spacing w:after="0" w:before="0" w:line="240" w:lineRule="auto"/>
              <w:rPr>
                <w:sz w:val="18"/>
                <w:szCs w:val="18"/>
              </w:rPr>
            </w:pPr>
            <w:r w:rsidRPr="00D97FEA">
              <w:rPr>
                <w:rFonts w:ascii="Arial" w:hAnsi="Arial"/>
                <w:sz w:val="17"/>
                <w:szCs w:val="18"/>
              </w:rPr>
              <w:t>Action required</w:t>
            </w:r>
          </w:p>
        </w:tc>
      </w:tr>
      <w:tr w:rsidR="00D97FEA" w:rsidRPr="00D97FEA" w14:paraId="7B791F88" w14:textId="77777777" w:rsidTr="00D97FEA">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0" w:before="0" w:line="240" w:lineRule="auto"/>
            </w:pPr>
            <w:r>
              <w:rPr>
                <w:rFonts w:ascii="Arial" w:hAnsi="Arial"/>
                <w:sz w:val="17"/>
              </w:rPr>
              <w:t>It is recommended that the Executive Leadership Committee:</w:t>
              <w:br/>
              <w:t>• note the proposed model-based economic evaluation of the existing Panda Vision pilot at Atherton, Mareeba and Innisfail;</w:t>
              <w:br/>
              <w:t>• endorse completion of the evaluation using existing records, current cost estimates, deterministic scenarios and probabilistic sensitivity analysis; and</w:t>
              <w:br/>
              <w:t>• support verification of equipment invoices/configuration and access to routine retrieval, DRG/NWAU and episode information.</w:t>
              <w:br/>
              <w:br/>
              <w:t>Referral</w:t>
              <w:br/>
              <w:t>Following completion, provide the findings to the Board Safety and Quality Committee and relevant Queensland virtual care, retrieval and neonatal stakeholders.</w:t>
            </w:r>
          </w:p>
        </w:tc>
      </w:tr>
    </w:tbl>
    <w:p w14:paraId="70BB9612" w14:textId="77777777" w:rsidR="00D97FEA" w:rsidRPr="00D97FEA" w:rsidRDefault="00D97FEA" w:rsidP="00D97FEA">
      <w:pPr>
        <w:spacing w:after="0" w:line="240" w:lineRule="auto"/>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28"/>
        <w:gridCol w:w="8566"/>
      </w:tblGrid>
      <w:tr w:rsidR="00D97FEA" w:rsidRPr="00D97FEA" w14:paraId="0D79D513" w14:textId="77777777" w:rsidTr="00D97FEA">
        <w:trPr>
          <w:trHeight w:val="340"/>
        </w:trPr>
        <w:tc>
          <w:tcPr>
            <w:tcW w:w="1555" w:type="dxa"/>
            <w:shd w:val="clear" w:color="auto" w:fill="D9D9D9" w:themeFill="background1" w:themeFillShade="D9"/>
            <w:vAlign w:val="center"/>
          </w:tcPr>
          <w:p w14:paraId="67791F81" w14:textId="77777777" w:rsidR="00D97FEA" w:rsidRPr="00D97FEA" w:rsidRDefault="00D97FEA" w:rsidP="00D97FEA">
            <w:pPr>
              <w:spacing w:after="0" w:before="0" w:line="240" w:lineRule="auto"/>
              <w:jc w:val="right"/>
              <w:rPr>
                <w:b/>
                <w:sz w:val="18"/>
                <w:szCs w:val="18"/>
              </w:rPr>
            </w:pPr>
            <w:r w:rsidRPr="00D97FEA">
              <w:rPr>
                <w:rFonts w:ascii="Arial" w:hAnsi="Arial"/>
                <w:b/>
                <w:sz w:val="17"/>
                <w:szCs w:val="18"/>
              </w:rPr>
              <w:t>Author</w:t>
            </w:r>
          </w:p>
        </w:tc>
        <w:tc>
          <w:tcPr>
            <w:tcW w:w="8181" w:type="dxa"/>
            <w:vAlign w:val="center"/>
          </w:tcPr>
          <w:p>
            <w:pPr>
              <w:spacing w:after="0" w:before="0" w:line="240" w:lineRule="auto"/>
            </w:pPr>
            <w:r>
              <w:rPr>
                <w:rFonts w:ascii="Arial" w:hAnsi="Arial"/>
                <w:sz w:val="17"/>
              </w:rPr>
              <w:t>Dr Dylan Mordaunt, Chief Medical Officer; Dr Nicholas Cairns; evaluation collaborators to be confirmed</w:t>
            </w:r>
          </w:p>
        </w:tc>
      </w:tr>
      <w:tr w:rsidR="00D97FEA" w:rsidRPr="00D97FEA" w14:paraId="023E57CB" w14:textId="77777777" w:rsidTr="00D97FEA">
        <w:trPr>
          <w:trHeight w:val="340"/>
        </w:trPr>
        <w:tc>
          <w:tcPr>
            <w:tcW w:w="1555" w:type="dxa"/>
            <w:shd w:val="clear" w:color="auto" w:fill="D9D9D9" w:themeFill="background1" w:themeFillShade="D9"/>
            <w:vAlign w:val="center"/>
          </w:tcPr>
          <w:p w14:paraId="15EFFA91" w14:textId="77777777" w:rsidR="00D97FEA" w:rsidRPr="00D97FEA" w:rsidRDefault="00D97FEA" w:rsidP="00D97FEA">
            <w:pPr>
              <w:spacing w:after="0" w:before="0" w:line="240" w:lineRule="auto"/>
              <w:jc w:val="right"/>
              <w:rPr>
                <w:b/>
                <w:sz w:val="18"/>
                <w:szCs w:val="18"/>
              </w:rPr>
            </w:pPr>
            <w:r w:rsidRPr="00D97FEA">
              <w:rPr>
                <w:rFonts w:ascii="Arial" w:hAnsi="Arial"/>
                <w:b/>
                <w:sz w:val="17"/>
                <w:szCs w:val="18"/>
              </w:rPr>
              <w:t>Presented by</w:t>
            </w:r>
          </w:p>
        </w:tc>
        <w:tc>
          <w:tcPr>
            <w:tcW w:w="8181" w:type="dxa"/>
            <w:vAlign w:val="center"/>
          </w:tcPr>
          <w:p>
            <w:pPr>
              <w:spacing w:after="0" w:before="0" w:line="240" w:lineRule="auto"/>
            </w:pPr>
            <w:r>
              <w:rPr>
                <w:rFonts w:ascii="Arial" w:hAnsi="Arial"/>
                <w:sz w:val="17"/>
              </w:rPr>
              <w:t>Chief Medical Officer / nominated project lead</w:t>
            </w:r>
          </w:p>
        </w:tc>
      </w:tr>
    </w:tbl>
    <w:p w14:paraId="2CBACA2F" w14:textId="77777777" w:rsidR="00D97FEA" w:rsidRPr="00D97FEA" w:rsidRDefault="00D97FEA" w:rsidP="00D97FEA">
      <w:pPr>
        <w:spacing w:after="0" w:line="240" w:lineRule="auto"/>
      </w:pPr>
    </w:p>
    <w:tbl>
      <w:tblPr>
        <w:tblStyle w:val="GridTable4-Accent61"/>
        <w:tblW w:w="5000" w:type="pct"/>
        <w:tblLook w:val="04A0" w:firstRow="1" w:lastRow="0" w:firstColumn="1" w:lastColumn="0" w:noHBand="0" w:noVBand="1"/>
      </w:tblPr>
      <w:tblGrid>
        <w:gridCol w:w="10194"/>
      </w:tblGrid>
      <w:tr w:rsidR="00D97FEA" w:rsidRPr="00D97FEA" w14:paraId="1E0A0A58"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14EB32D6" w14:textId="77777777" w:rsidR="00D97FEA" w:rsidRPr="00D97FEA" w:rsidRDefault="00D97FEA" w:rsidP="00D97FEA">
            <w:pPr>
              <w:spacing w:after="0" w:before="0" w:line="240" w:lineRule="auto"/>
              <w:rPr>
                <w:sz w:val="18"/>
                <w:szCs w:val="18"/>
              </w:rPr>
            </w:pPr>
            <w:r w:rsidRPr="00D97FEA">
              <w:rPr>
                <w:rFonts w:ascii="Arial" w:hAnsi="Arial"/>
                <w:sz w:val="17"/>
                <w:szCs w:val="18"/>
              </w:rPr>
              <w:t>Executive summary</w:t>
            </w:r>
          </w:p>
        </w:tc>
      </w:tr>
      <w:tr w:rsidR="00D97FEA" w:rsidRPr="00D97FEA" w14:paraId="2C58A047" w14:textId="77777777" w:rsidTr="00D97FEA">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vAlign w:val="top"/>
          </w:tcPr>
          <w:p>
            <w:pPr>
              <w:spacing w:after="0" w:before="0" w:line="240" w:lineRule="auto"/>
            </w:pPr>
            <w:r>
              <w:rPr>
                <w:rFonts w:ascii="Arial" w:hAnsi="Arial"/>
                <w:sz w:val="17"/>
              </w:rPr>
              <w:t>1. Panda Vision provides live video support from a neonatologist during time-critical neonatal care in rural birthing facilities. The model is operational at Atherton, Mareeba and Innisfail. The local critical-care pathway remains rural facility → Retrieval Services Queensland (RSQ) → Advanced Neonatal Transport Services North Queensland, with video added to—not replacing—the specialist consultation.</w:t>
              <w:br/>
              <w:br/>
              <w:t>2. Local information indicates 4–5 video-supported episodes at Atherton to date and anticipated use of 10–15 consultations per site each year (30–45 across the three-site network). The installed cost is reported as $10,000 per installation; this should be verified against invoices and the component list.</w:t>
              <w:br/>
              <w:br/>
              <w:t>3. The principal comparison is video-supported consultation versus telephone-supported consultation. Consultation occurs in both pathways. Potential value arises through: (a) avoiding a transfer that is not clinically required; (b) earlier or more precise procedures and stabilisation before a transfer that remains necessary; (c) improved specialist assessment, clinician confidence and communication with families; and (d) possible changes in survival or morbidity.</w:t>
              <w:br/>
              <w:br/>
              <w:t>4. A randomised trial is unlikely to be feasible or appropriate for this low-volume emergency service. The recommended design is an annual-cohort decision model using the existing 4–5 episodes, routine historical activity, IHACPA admitted-care benchmarks, published teleneonatology evidence and explicitly reasoned assumptions. All assumptions will be classified as documented, externally informed or researcher-estimated.</w:t>
              <w:br/>
              <w:br/>
              <w:t>5. The primary analysis will be a cost-consequence analysis from CHHHS, whole-health-system and societal perspectives, with a three- and five-year budget impact. It will report programme costs, transfers avoided, treatment/stabilisation consequences, family travel and separation, and the distribution of net costs. It will not equate NWAU revenue with marginal cash savings.</w:t>
              <w:br/>
              <w:br/>
              <w:t>6. The model will use the 2026–27 National Efficient Price ($7,418 per NWAU) and AR-DRG version 12.0 neonatal weights to benchmark admitted resource use. Actual DRG/NWAU records should replace generic weights where available. Rural block-funding arrangements under the National Efficient Cost model will be described separately.</w:t>
              <w:br/>
              <w:br/>
              <w:t>7. Public QAS reporting confirms substantial RSQ activity but does not publish a current neonatal road/rotary/fixed-wing split. The base case therefore uses a Queensland neonatal retrieval study (25 road, 9 rotary and 11 fixed-wing journeys) as a prior, with low-air and high-air scenarios. Asset and downstream hospital costs will be tested over broad ranges.</w:t>
              <w:br/>
              <w:br/>
              <w:t>8. Deterministic scenarios will test no transfer effect, low/moderate/high effects, 10–15 consultations per site, alternative transport mixes and equipment configurations. Probabilistic sensitivity analysis will jointly vary utilisation, usual-care transfer probability, video effect, transport mode/cost, downstream hospital costs and programme costs. The transfer-effect distribution will cross the null so the analysis can represent no benefit or increased transfer.</w:t>
              <w:br/>
              <w:br/>
              <w:t>9. An exploratory clinical extension will include death, survival without major morbidity and survival with major morbidity. This is important because preventing death can increase lifetime costs where additional survivors have significant morbidity. It will remain outside the primary result unless credible outcome parameters can be supported.</w:t>
              <w:br/>
              <w:br/>
              <w:t>10. Published economic models support this structure. The earlier Queensland analysis found 5 avoided transfers among 19 consultations and a 5% break-even threshold, but used older technology and costs. Recent United States models used decision trees and Monte Carlo simulation and generally found tele-neonatology likely to be cost-saving, with substantial uncertainty. These estimates will inform ranges rather than be treated as local effects.</w:t>
              <w:br/>
              <w:br/>
              <w:t>11. No exact off-the-shelf, medically integrated tablet-mounted PTZ system was verified. OBSBOT Tail Air is a plausible component because it supports 4K PTZ, tablet control, Wi-Fi/NDI, USB-C and PoE. It is not a clinically approved configuration. A tablet-integrated replacement for the current ad hoc setup should be prototyped and assessed by Biomedical Technology Services, eHealth Telehealth, cyber/privacy and end users.</w:t>
              <w:br/>
              <w:br/>
              <w:t>12. Deliverables will be an editable economic model, executive briefing and presentation suitable for local, Queensland and national investment decisions, with a later prospective registry only if the value-of-information analysis indicates that further data collection could change the decision.</w:t>
            </w:r>
          </w:p>
        </w:tc>
      </w:tr>
    </w:tbl>
    <w:p w14:paraId="5F09990F" w14:textId="77777777" w:rsidR="00D97FEA" w:rsidRPr="00D97FEA" w:rsidRDefault="00D97FEA" w:rsidP="00D97FEA">
      <w:pPr>
        <w:spacing w:after="0" w:line="240" w:lineRule="auto"/>
        <w:rPr>
          <w:sz w:val="18"/>
          <w:szCs w:val="20"/>
        </w:rPr>
      </w:pPr>
    </w:p>
    <w:p w14:paraId="0E41C96A" w14:textId="77777777" w:rsidR="00D97FEA" w:rsidRPr="00D97FEA" w:rsidRDefault="00D97FEA" w:rsidP="00D97FEA">
      <w:pPr>
        <w:spacing w:after="0" w:line="240" w:lineRule="auto"/>
        <w:rPr>
          <w:sz w:val="18"/>
          <w:szCs w:val="20"/>
        </w:rPr>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83"/>
        <w:gridCol w:w="8911"/>
      </w:tblGrid>
      <w:tr w:rsidR="00D97FEA" w:rsidRPr="00D97FEA" w14:paraId="6FDAC365" w14:textId="77777777" w:rsidTr="00D97FEA">
        <w:trPr>
          <w:trHeight w:val="441"/>
        </w:trPr>
        <w:tc>
          <w:tcPr>
            <w:tcW w:w="9736" w:type="dxa"/>
            <w:gridSpan w:val="2"/>
            <w:shd w:val="clear" w:color="auto" w:fill="808080" w:themeFill="background1" w:themeFillShade="80"/>
            <w:vAlign w:val="center"/>
          </w:tcPr>
          <w:p w14:paraId="0CD8AFBE" w14:textId="77777777" w:rsidR="00D97FEA" w:rsidRPr="00D97FEA" w:rsidRDefault="00D97FEA" w:rsidP="00D97FEA">
            <w:pPr>
              <w:spacing w:after="0" w:before="0" w:line="240" w:lineRule="auto"/>
              <w:rPr>
                <w:rFonts w:asciiTheme="majorHAnsi" w:hAnsiTheme="majorHAnsi" w:cstheme="majorHAnsi"/>
                <w:b/>
                <w:sz w:val="18"/>
                <w:szCs w:val="18"/>
              </w:rPr>
            </w:pPr>
            <w:r w:rsidRPr="00D97FEA">
              <w:rPr>
                <w:rFonts w:asciiTheme="majorHAnsi" w:hAnsiTheme="majorHAnsi" w:cstheme="majorHAnsi" w:ascii="Arial" w:hAnsi="Arial"/>
                <w:b/>
                <w:color w:val="FFFFFF" w:themeColor="background1"/>
                <w:sz w:val="17"/>
                <w:szCs w:val="18"/>
              </w:rPr>
              <w:t>Engagement and consultation</w:t>
            </w:r>
          </w:p>
        </w:tc>
      </w:tr>
      <w:tr w:rsidR="00D97FEA" w:rsidRPr="00D97FEA" w14:paraId="73E535DC" w14:textId="77777777" w:rsidTr="00D97FEA">
        <w:trPr>
          <w:trHeight w:val="454"/>
        </w:trPr>
        <w:tc>
          <w:tcPr>
            <w:tcW w:w="1225" w:type="dxa"/>
            <w:shd w:val="clear" w:color="auto" w:fill="D9D9D9" w:themeFill="background1" w:themeFillShade="D9"/>
            <w:tcMar>
              <w:top w:w="57" w:type="dxa"/>
              <w:left w:w="57" w:type="dxa"/>
              <w:bottom w:w="57" w:type="dxa"/>
              <w:right w:w="57" w:type="dxa"/>
            </w:tcMar>
          </w:tcPr>
          <w:p w14:paraId="3686DC73" w14:textId="77777777" w:rsidR="00D97FEA" w:rsidRPr="00D97FEA" w:rsidRDefault="00D97FEA" w:rsidP="00D97FEA">
            <w:pPr>
              <w:spacing w:after="0" w:before="0" w:line="240" w:lineRule="auto"/>
              <w:jc w:val="right"/>
              <w:rPr>
                <w:rFonts w:cstheme="minorHAnsi"/>
                <w:b/>
                <w:sz w:val="18"/>
                <w:szCs w:val="18"/>
              </w:rPr>
            </w:pPr>
            <w:r w:rsidRPr="00D97FEA">
              <w:rPr>
                <w:rFonts w:cstheme="minorHAnsi" w:ascii="Arial" w:hAnsi="Arial"/>
                <w:b/>
                <w:sz w:val="17"/>
                <w:szCs w:val="18"/>
              </w:rPr>
              <w:t>Consumers</w:t>
            </w:r>
          </w:p>
        </w:tc>
        <w:tc>
          <w:tcPr>
            <w:tcW w:w="8511" w:type="dxa"/>
            <w:tcMar>
              <w:top w:w="57" w:type="dxa"/>
              <w:left w:w="57" w:type="dxa"/>
              <w:bottom w:w="57" w:type="dxa"/>
              <w:right w:w="57" w:type="dxa"/>
            </w:tcMar>
          </w:tcPr>
          <w:p>
            <w:pPr>
              <w:spacing w:after="0" w:before="0" w:line="240" w:lineRule="auto"/>
            </w:pPr>
            <w:r>
              <w:rPr>
                <w:rFonts w:ascii="Arial" w:hAnsi="Arial"/>
                <w:sz w:val="17"/>
              </w:rPr>
              <w:t>No formal consumer consultation yet. Family travel, separation and communication will be included as consequences; consumer review is recommended before wider implementation.</w:t>
            </w:r>
          </w:p>
        </w:tc>
      </w:tr>
      <w:tr w:rsidR="00D97FEA" w:rsidRPr="00D97FEA" w14:paraId="017299E0" w14:textId="77777777" w:rsidTr="00D97FEA">
        <w:trPr>
          <w:trHeight w:val="454"/>
        </w:trPr>
        <w:tc>
          <w:tcPr>
            <w:tcW w:w="1225" w:type="dxa"/>
            <w:shd w:val="clear" w:color="auto" w:fill="D9D9D9" w:themeFill="background1" w:themeFillShade="D9"/>
            <w:tcMar>
              <w:top w:w="57" w:type="dxa"/>
              <w:left w:w="57" w:type="dxa"/>
              <w:bottom w:w="57" w:type="dxa"/>
              <w:right w:w="57" w:type="dxa"/>
            </w:tcMar>
          </w:tcPr>
          <w:p w14:paraId="3B50262B" w14:textId="77777777" w:rsidR="00D97FEA" w:rsidRPr="00D97FEA" w:rsidRDefault="00D97FEA" w:rsidP="00D97FEA">
            <w:pPr>
              <w:spacing w:after="0" w:before="0" w:line="240" w:lineRule="auto"/>
              <w:jc w:val="right"/>
              <w:rPr>
                <w:rFonts w:cstheme="minorHAnsi"/>
                <w:b/>
                <w:sz w:val="18"/>
                <w:szCs w:val="18"/>
              </w:rPr>
            </w:pPr>
            <w:r w:rsidRPr="00D97FEA">
              <w:rPr>
                <w:rFonts w:cstheme="minorHAnsi" w:ascii="Arial" w:hAnsi="Arial"/>
                <w:b/>
                <w:sz w:val="17"/>
                <w:szCs w:val="18"/>
              </w:rPr>
              <w:t>Clinicians and staff</w:t>
            </w:r>
          </w:p>
        </w:tc>
        <w:tc>
          <w:tcPr>
            <w:tcW w:w="8511" w:type="dxa"/>
            <w:tcMar>
              <w:top w:w="57" w:type="dxa"/>
              <w:left w:w="57" w:type="dxa"/>
              <w:bottom w:w="57" w:type="dxa"/>
              <w:right w:w="57" w:type="dxa"/>
            </w:tcMar>
          </w:tcPr>
          <w:p>
            <w:pPr>
              <w:spacing w:after="0" w:before="0" w:line="240" w:lineRule="auto"/>
            </w:pPr>
            <w:r>
              <w:rPr>
                <w:rFonts w:ascii="Arial" w:hAnsi="Arial"/>
                <w:sz w:val="17"/>
              </w:rPr>
              <w:t>Initial discussion with Dr Nicholas Cairns. The ELC paper records engagement with Virtual Care Enablement, Biomedical Technology Services, eHealth Telehealth, RSQ, ANTS-NQ and neonatology. Model assumptions should be reviewed by these groups.</w:t>
            </w:r>
          </w:p>
        </w:tc>
      </w:tr>
      <w:tr w:rsidR="00D97FEA" w:rsidRPr="00D97FEA" w14:paraId="124FDEC6" w14:textId="77777777" w:rsidTr="00D97FEA">
        <w:trPr>
          <w:trHeight w:val="454"/>
        </w:trPr>
        <w:tc>
          <w:tcPr>
            <w:tcW w:w="1225" w:type="dxa"/>
            <w:shd w:val="clear" w:color="auto" w:fill="D9D9D9" w:themeFill="background1" w:themeFillShade="D9"/>
            <w:tcMar>
              <w:top w:w="57" w:type="dxa"/>
              <w:left w:w="57" w:type="dxa"/>
              <w:bottom w:w="57" w:type="dxa"/>
              <w:right w:w="57" w:type="dxa"/>
            </w:tcMar>
          </w:tcPr>
          <w:p w14:paraId="2485E70A" w14:textId="77777777" w:rsidR="00D97FEA" w:rsidRPr="00D97FEA" w:rsidRDefault="00D97FEA" w:rsidP="00D97FEA">
            <w:pPr>
              <w:spacing w:after="0" w:before="0" w:line="240" w:lineRule="auto"/>
              <w:jc w:val="right"/>
              <w:rPr>
                <w:rFonts w:cstheme="minorHAnsi"/>
                <w:b/>
                <w:sz w:val="18"/>
                <w:szCs w:val="18"/>
              </w:rPr>
            </w:pPr>
            <w:r w:rsidRPr="00D97FEA">
              <w:rPr>
                <w:rFonts w:cstheme="minorHAnsi" w:ascii="Arial" w:hAnsi="Arial"/>
                <w:b/>
                <w:sz w:val="17"/>
                <w:szCs w:val="18"/>
              </w:rPr>
              <w:t>External stakeholders</w:t>
            </w:r>
          </w:p>
        </w:tc>
        <w:tc>
          <w:tcPr>
            <w:tcW w:w="8511" w:type="dxa"/>
            <w:tcMar>
              <w:top w:w="57" w:type="dxa"/>
              <w:left w:w="57" w:type="dxa"/>
              <w:bottom w:w="57" w:type="dxa"/>
              <w:right w:w="57" w:type="dxa"/>
            </w:tcMar>
          </w:tcPr>
          <w:p>
            <w:pPr>
              <w:spacing w:after="0" w:before="0" w:line="240" w:lineRule="auto"/>
            </w:pPr>
            <w:r>
              <w:rPr>
                <w:rFonts w:ascii="Arial" w:hAnsi="Arial"/>
                <w:sz w:val="17"/>
              </w:rPr>
              <w:t>Townsville neonatology/ANTS-NQ, RSQ/QAS, IHACPA/Queensland ABF contacts and potential statewide virtual-care sponsors should be invited to validate assumptions and use cases.</w:t>
            </w:r>
          </w:p>
        </w:tc>
      </w:tr>
    </w:tbl>
    <w:p w14:paraId="1D22076E" w14:textId="77777777" w:rsidR="00D97FEA" w:rsidRPr="00D97FEA" w:rsidRDefault="00D97FEA" w:rsidP="00D97FEA">
      <w:pPr>
        <w:spacing w:after="0" w:line="240" w:lineRule="auto"/>
        <w:rPr>
          <w:sz w:val="18"/>
          <w:szCs w:val="20"/>
        </w:rPr>
      </w:pPr>
    </w:p>
    <w:p w14:paraId="3D83D4F6" w14:textId="77777777" w:rsidR="00D97FEA" w:rsidRPr="00D97FEA" w:rsidRDefault="00D97FEA" w:rsidP="00D97FEA">
      <w:pPr>
        <w:spacing w:after="0" w:line="240" w:lineRule="auto"/>
        <w:rPr>
          <w:sz w:val="18"/>
          <w:szCs w:val="20"/>
        </w:rPr>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82"/>
        <w:gridCol w:w="9012"/>
      </w:tblGrid>
      <w:tr w:rsidR="00D97FEA" w:rsidRPr="00D97FEA" w14:paraId="29D50C1C" w14:textId="77777777" w:rsidTr="00A1783D">
        <w:trPr>
          <w:trHeight w:val="441"/>
        </w:trPr>
        <w:tc>
          <w:tcPr>
            <w:tcW w:w="10194" w:type="dxa"/>
            <w:gridSpan w:val="2"/>
            <w:shd w:val="clear" w:color="auto" w:fill="808080" w:themeFill="background1" w:themeFillShade="80"/>
            <w:vAlign w:val="center"/>
          </w:tcPr>
          <w:p w14:paraId="058DBE95" w14:textId="77777777" w:rsidR="00D97FEA" w:rsidRPr="00D97FEA" w:rsidRDefault="00D97FEA" w:rsidP="00D97FEA">
            <w:pPr>
              <w:spacing w:after="0" w:before="0" w:line="240" w:lineRule="auto"/>
              <w:rPr>
                <w:rFonts w:asciiTheme="majorHAnsi" w:hAnsiTheme="majorHAnsi" w:cstheme="majorHAnsi"/>
                <w:b/>
                <w:sz w:val="18"/>
                <w:szCs w:val="18"/>
              </w:rPr>
            </w:pPr>
            <w:r w:rsidRPr="00D97FEA">
              <w:rPr>
                <w:rFonts w:asciiTheme="majorHAnsi" w:hAnsiTheme="majorHAnsi" w:cstheme="majorHAnsi" w:ascii="Arial" w:hAnsi="Arial"/>
                <w:b/>
                <w:color w:val="FFFFFF" w:themeColor="background1"/>
                <w:sz w:val="17"/>
                <w:szCs w:val="18"/>
              </w:rPr>
              <w:t>Implications</w:t>
            </w:r>
          </w:p>
        </w:tc>
      </w:tr>
      <w:tr w:rsidR="00D97FEA" w:rsidRPr="00D97FEA" w14:paraId="680CDFC2" w14:textId="77777777" w:rsidTr="00A1783D">
        <w:trPr>
          <w:trHeight w:val="454"/>
        </w:trPr>
        <w:tc>
          <w:tcPr>
            <w:tcW w:w="1182" w:type="dxa"/>
            <w:shd w:val="clear" w:color="auto" w:fill="D9D9D9" w:themeFill="background1" w:themeFillShade="D9"/>
            <w:tcMar>
              <w:top w:w="57" w:type="dxa"/>
              <w:left w:w="57" w:type="dxa"/>
              <w:bottom w:w="57" w:type="dxa"/>
              <w:right w:w="57" w:type="dxa"/>
            </w:tcMar>
          </w:tcPr>
          <w:p w14:paraId="6D3E4791" w14:textId="77777777" w:rsidR="00D97FEA" w:rsidRPr="00D97FEA" w:rsidRDefault="00D97FEA" w:rsidP="00D97FEA">
            <w:pPr>
              <w:spacing w:after="0" w:before="0" w:line="240" w:lineRule="auto"/>
              <w:jc w:val="right"/>
              <w:rPr>
                <w:rFonts w:cstheme="minorHAnsi"/>
                <w:b/>
                <w:sz w:val="18"/>
                <w:szCs w:val="18"/>
              </w:rPr>
            </w:pPr>
            <w:r w:rsidRPr="00D97FEA">
              <w:rPr>
                <w:rFonts w:cstheme="minorHAnsi" w:ascii="Arial" w:hAnsi="Arial"/>
                <w:b/>
                <w:sz w:val="17"/>
                <w:szCs w:val="18"/>
              </w:rPr>
              <w:t>Budget</w:t>
            </w:r>
          </w:p>
        </w:tc>
        <w:tc>
          <w:tcPr>
            <w:tcW w:w="9012" w:type="dxa"/>
            <w:tcMar>
              <w:top w:w="57" w:type="dxa"/>
              <w:left w:w="57" w:type="dxa"/>
              <w:bottom w:w="57" w:type="dxa"/>
              <w:right w:w="57" w:type="dxa"/>
            </w:tcMar>
          </w:tcPr>
          <w:p>
            <w:pPr>
              <w:spacing w:after="0" w:before="0" w:line="240" w:lineRule="auto"/>
            </w:pPr>
            <w:r>
              <w:rPr>
                <w:rFonts w:ascii="Arial" w:hAnsi="Arial"/>
                <w:sz w:val="17"/>
              </w:rPr>
              <w:t>Amount: evaluation can be completed largely with existing staff and data; any analyst/research support to be confirmed.</w:t>
              <w:br/>
              <w:t>Programme benchmark: $10,000 per installation (verification required), three current sites.</w:t>
              <w:br/>
              <w:t>Funding: existing pilot/operational budgets; no new recurrent commitment is sought through this paper.</w:t>
              <w:br/>
              <w:t>The model will distinguish sunk capital, annualised economic cost and future cash expenditure. Any proposed expansion will require a separate funding decision.</w:t>
            </w:r>
          </w:p>
        </w:tc>
      </w:tr>
      <w:tr w:rsidR="00D97FEA" w:rsidRPr="00D97FEA" w14:paraId="36870D3B" w14:textId="77777777" w:rsidTr="00A1783D">
        <w:trPr>
          <w:trHeight w:val="454"/>
        </w:trPr>
        <w:tc>
          <w:tcPr>
            <w:tcW w:w="1182" w:type="dxa"/>
            <w:shd w:val="clear" w:color="auto" w:fill="D9D9D9" w:themeFill="background1" w:themeFillShade="D9"/>
            <w:tcMar>
              <w:top w:w="57" w:type="dxa"/>
              <w:left w:w="57" w:type="dxa"/>
              <w:bottom w:w="57" w:type="dxa"/>
              <w:right w:w="57" w:type="dxa"/>
            </w:tcMar>
          </w:tcPr>
          <w:p w14:paraId="50F0FC81" w14:textId="77777777" w:rsidR="00D97FEA" w:rsidRPr="00D97FEA" w:rsidRDefault="00D97FEA" w:rsidP="00D97FEA">
            <w:pPr>
              <w:spacing w:after="0" w:before="0" w:line="240" w:lineRule="auto"/>
              <w:jc w:val="right"/>
              <w:rPr>
                <w:rFonts w:cstheme="minorHAnsi"/>
                <w:b/>
                <w:sz w:val="18"/>
                <w:szCs w:val="18"/>
              </w:rPr>
            </w:pPr>
            <w:r w:rsidRPr="00D97FEA">
              <w:rPr>
                <w:rFonts w:cstheme="minorHAnsi" w:ascii="Arial" w:hAnsi="Arial"/>
                <w:b/>
                <w:sz w:val="17"/>
                <w:szCs w:val="18"/>
              </w:rPr>
              <w:lastRenderedPageBreak/>
              <w:t>FTE</w:t>
            </w:r>
          </w:p>
        </w:tc>
        <w:tc>
          <w:tcPr>
            <w:tcW w:w="9012" w:type="dxa"/>
            <w:tcMar>
              <w:top w:w="57" w:type="dxa"/>
              <w:left w:w="57" w:type="dxa"/>
              <w:bottom w:w="57" w:type="dxa"/>
              <w:right w:w="57" w:type="dxa"/>
            </w:tcMar>
          </w:tcPr>
          <w:p>
            <w:pPr>
              <w:spacing w:after="0" w:before="0" w:line="240" w:lineRule="auto"/>
            </w:pPr>
            <w:r>
              <w:rPr>
                <w:rFonts w:ascii="Arial" w:hAnsi="Arial"/>
                <w:sz w:val="17"/>
              </w:rPr>
              <w:t>Evaluation requires limited clinical, finance, digital and analyst input. Ongoing service FTE impact is principally readiness checks and incremental video workflow time, not the full specialist consultation.</w:t>
            </w:r>
          </w:p>
        </w:tc>
      </w:tr>
      <w:tr w:rsidR="00D97FEA" w:rsidRPr="00D97FEA" w14:paraId="3C84FE9A" w14:textId="77777777" w:rsidTr="00A1783D">
        <w:trPr>
          <w:trHeight w:val="454"/>
        </w:trPr>
        <w:tc>
          <w:tcPr>
            <w:tcW w:w="1182" w:type="dxa"/>
            <w:shd w:val="clear" w:color="auto" w:fill="D9D9D9" w:themeFill="background1" w:themeFillShade="D9"/>
            <w:tcMar>
              <w:top w:w="57" w:type="dxa"/>
              <w:left w:w="57" w:type="dxa"/>
              <w:bottom w:w="57" w:type="dxa"/>
              <w:right w:w="57" w:type="dxa"/>
            </w:tcMar>
          </w:tcPr>
          <w:p w14:paraId="761353DE" w14:textId="77777777" w:rsidR="00D97FEA" w:rsidRPr="00D97FEA" w:rsidRDefault="00D97FEA" w:rsidP="00D97FEA">
            <w:pPr>
              <w:spacing w:after="0" w:before="0" w:line="240" w:lineRule="auto"/>
              <w:jc w:val="right"/>
              <w:rPr>
                <w:rFonts w:cstheme="minorHAnsi"/>
                <w:b/>
                <w:sz w:val="18"/>
                <w:szCs w:val="18"/>
              </w:rPr>
            </w:pPr>
            <w:r w:rsidRPr="00D97FEA">
              <w:rPr>
                <w:rFonts w:cstheme="minorHAnsi" w:ascii="Arial" w:hAnsi="Arial"/>
                <w:b/>
                <w:sz w:val="17"/>
                <w:szCs w:val="18"/>
              </w:rPr>
              <w:t>Risk</w:t>
            </w:r>
          </w:p>
        </w:tc>
        <w:tc>
          <w:tcPr>
            <w:tcW w:w="9012" w:type="dxa"/>
            <w:tcMar>
              <w:top w:w="57" w:type="dxa"/>
              <w:left w:w="57" w:type="dxa"/>
              <w:bottom w:w="57" w:type="dxa"/>
              <w:right w:w="57" w:type="dxa"/>
            </w:tcMar>
          </w:tcPr>
          <w:p>
            <w:pPr>
              <w:spacing w:after="0" w:before="0" w:line="240" w:lineRule="auto"/>
            </w:pPr>
            <w:r>
              <w:rPr>
                <w:rFonts w:ascii="Arial" w:hAnsi="Arial"/>
                <w:sz w:val="17"/>
              </w:rPr>
              <w:t>Key risks: sparse local episodes; confounding by severity; uncertain transfer-mode and marginal costs; double-counting sending/receiving activity; treating funding as cost; unverified device compatibility; and overstating mortality benefit. Mitigation: transparent assumption register, wide scenario ranges, PSA, independent clinical review and explicit separation of observed from modelled results.</w:t>
            </w:r>
          </w:p>
        </w:tc>
      </w:tr>
      <w:tr w:rsidR="00D97FEA" w:rsidRPr="00D97FEA" w14:paraId="64D0EAFC" w14:textId="77777777" w:rsidTr="00A1783D">
        <w:trPr>
          <w:trHeight w:val="454"/>
        </w:trPr>
        <w:tc>
          <w:tcPr>
            <w:tcW w:w="1182" w:type="dxa"/>
            <w:shd w:val="clear" w:color="auto" w:fill="D9D9D9" w:themeFill="background1" w:themeFillShade="D9"/>
            <w:tcMar>
              <w:top w:w="57" w:type="dxa"/>
              <w:left w:w="57" w:type="dxa"/>
              <w:bottom w:w="57" w:type="dxa"/>
              <w:right w:w="57" w:type="dxa"/>
            </w:tcMar>
          </w:tcPr>
          <w:p w14:paraId="55283236" w14:textId="77777777" w:rsidR="00D97FEA" w:rsidRPr="00D97FEA" w:rsidRDefault="00D97FEA" w:rsidP="00D97FEA">
            <w:pPr>
              <w:spacing w:after="0" w:before="0" w:line="240" w:lineRule="auto"/>
              <w:jc w:val="right"/>
              <w:rPr>
                <w:rFonts w:cstheme="minorHAnsi"/>
                <w:b/>
                <w:sz w:val="18"/>
                <w:szCs w:val="18"/>
              </w:rPr>
            </w:pPr>
            <w:r w:rsidRPr="00D97FEA">
              <w:rPr>
                <w:rFonts w:cstheme="minorHAnsi" w:ascii="Arial" w:hAnsi="Arial"/>
                <w:b/>
                <w:sz w:val="17"/>
                <w:szCs w:val="18"/>
              </w:rPr>
              <w:t>Legal</w:t>
            </w:r>
          </w:p>
        </w:tc>
        <w:tc>
          <w:tcPr>
            <w:tcW w:w="9012" w:type="dxa"/>
            <w:tcMar>
              <w:top w:w="57" w:type="dxa"/>
              <w:left w:w="57" w:type="dxa"/>
              <w:bottom w:w="57" w:type="dxa"/>
              <w:right w:w="57" w:type="dxa"/>
            </w:tcMar>
          </w:tcPr>
          <w:p>
            <w:pPr>
              <w:spacing w:after="0" w:before="0" w:line="240" w:lineRule="auto"/>
            </w:pPr>
            <w:r>
              <w:rPr>
                <w:rFonts w:ascii="Arial" w:hAnsi="Arial"/>
                <w:sz w:val="17"/>
              </w:rPr>
              <w:t>Initial work is service evaluation/economic modelling using existing information. Governance, privacy, data-access and research/QA classification should be confirmed before patient-level linkage or publication.</w:t>
            </w:r>
          </w:p>
        </w:tc>
      </w:tr>
      <w:tr w:rsidR="000C78F5" w:rsidRPr="00D97FEA" w14:paraId="15E31A32" w14:textId="77777777" w:rsidTr="00A1783D">
        <w:trPr>
          <w:trHeight w:val="454"/>
        </w:trPr>
        <w:tc>
          <w:tcPr>
            <w:tcW w:w="1182" w:type="dxa"/>
            <w:shd w:val="clear" w:color="auto" w:fill="D9D9D9" w:themeFill="background1" w:themeFillShade="D9"/>
            <w:tcMar>
              <w:top w:w="57" w:type="dxa"/>
              <w:left w:w="57" w:type="dxa"/>
              <w:bottom w:w="57" w:type="dxa"/>
              <w:right w:w="57" w:type="dxa"/>
            </w:tcMar>
          </w:tcPr>
          <w:p w14:paraId="4EE035A7" w14:textId="7827F756" w:rsidR="000C78F5" w:rsidRPr="00A1783D" w:rsidRDefault="000C78F5" w:rsidP="00D97FEA">
            <w:pPr>
              <w:spacing w:after="0" w:before="0" w:line="240" w:lineRule="auto"/>
              <w:jc w:val="right"/>
              <w:rPr>
                <w:rFonts w:cstheme="minorHAnsi"/>
                <w:b/>
                <w:sz w:val="18"/>
                <w:szCs w:val="18"/>
              </w:rPr>
            </w:pPr>
            <w:r w:rsidRPr="00A1783D">
              <w:rPr>
                <w:rFonts w:cstheme="minorHAnsi" w:ascii="Arial" w:hAnsi="Arial"/>
                <w:b/>
                <w:sz w:val="17"/>
                <w:szCs w:val="18"/>
              </w:rPr>
              <w:t>ICT</w:t>
            </w:r>
          </w:p>
        </w:tc>
        <w:tc>
          <w:tcPr>
            <w:tcW w:w="9012" w:type="dxa"/>
            <w:tcMar>
              <w:top w:w="57" w:type="dxa"/>
              <w:left w:w="57" w:type="dxa"/>
              <w:bottom w:w="57" w:type="dxa"/>
              <w:right w:w="57" w:type="dxa"/>
            </w:tcMar>
          </w:tcPr>
          <w:p>
            <w:pPr>
              <w:spacing w:after="0" w:before="0" w:line="240" w:lineRule="auto"/>
            </w:pPr>
            <w:r>
              <w:rPr>
                <w:rFonts w:ascii="Arial" w:hAnsi="Arial"/>
                <w:sz w:val="17"/>
              </w:rPr>
              <w:t>Existing QH Portal, network, device-management, cyber security, far-end camera control, power, cleaning and biomedical requirements must be validated for any replacement tablet configuration.</w:t>
            </w:r>
          </w:p>
        </w:tc>
      </w:tr>
      <w:tr w:rsidR="00A1783D" w:rsidRPr="00D97FEA" w14:paraId="082C1F9D" w14:textId="77777777" w:rsidTr="00A1783D">
        <w:trPr>
          <w:trHeight w:val="454"/>
        </w:trPr>
        <w:tc>
          <w:tcPr>
            <w:tcW w:w="1182" w:type="dxa"/>
            <w:shd w:val="clear" w:color="auto" w:fill="D9D9D9" w:themeFill="background1" w:themeFillShade="D9"/>
            <w:tcMar>
              <w:top w:w="57" w:type="dxa"/>
              <w:left w:w="57" w:type="dxa"/>
              <w:bottom w:w="57" w:type="dxa"/>
              <w:right w:w="57" w:type="dxa"/>
            </w:tcMar>
          </w:tcPr>
          <w:p w14:paraId="08CEACC3" w14:textId="79D64086" w:rsidR="00A1783D" w:rsidRPr="00A1783D" w:rsidRDefault="00A1783D" w:rsidP="00A1783D">
            <w:pPr>
              <w:spacing w:after="0" w:before="0" w:line="240" w:lineRule="auto"/>
              <w:jc w:val="right"/>
              <w:rPr>
                <w:rFonts w:cstheme="minorHAnsi"/>
                <w:b/>
                <w:sz w:val="18"/>
                <w:szCs w:val="18"/>
              </w:rPr>
            </w:pPr>
            <w:r>
              <w:rPr>
                <w:rFonts w:cstheme="minorHAnsi" w:ascii="Arial" w:hAnsi="Arial"/>
                <w:b/>
                <w:sz w:val="17"/>
                <w:szCs w:val="18"/>
              </w:rPr>
              <w:t>Impact on First People’s Health</w:t>
            </w:r>
          </w:p>
        </w:tc>
        <w:tc>
          <w:tcPr>
            <w:tcW w:w="9012" w:type="dxa"/>
            <w:tcMar>
              <w:top w:w="57" w:type="dxa"/>
              <w:left w:w="57" w:type="dxa"/>
              <w:bottom w:w="57" w:type="dxa"/>
              <w:right w:w="57" w:type="dxa"/>
            </w:tcMar>
          </w:tcPr>
          <w:p>
            <w:pPr>
              <w:spacing w:after="0" w:before="0" w:line="240" w:lineRule="auto"/>
            </w:pPr>
            <w:r>
              <w:rPr>
                <w:rFonts w:ascii="Arial" w:hAnsi="Arial"/>
                <w:sz w:val="17"/>
              </w:rPr>
              <w:t>The service supports equitable access to specialist neonatal advice closer to home. Scenario analysis should separately examine remote communities, transport burden and family separation; engagement with First Peoples health and consumers is recommended before scale-up.</w:t>
            </w:r>
          </w:p>
        </w:tc>
      </w:tr>
    </w:tbl>
    <w:p w14:paraId="3DD3B245" w14:textId="77777777" w:rsidR="00D97FEA" w:rsidRPr="00D97FEA" w:rsidRDefault="00D97FEA" w:rsidP="00D97FEA">
      <w:pPr>
        <w:spacing w:after="0" w:line="240" w:lineRule="auto"/>
        <w:rPr>
          <w:sz w:val="18"/>
          <w:szCs w:val="20"/>
        </w:rPr>
      </w:pPr>
    </w:p>
    <w:p w14:paraId="7D6AE10C" w14:textId="77777777" w:rsidR="00D97FEA" w:rsidRPr="00D97FEA" w:rsidRDefault="00D97FEA" w:rsidP="00D97FEA">
      <w:pPr>
        <w:spacing w:after="0" w:line="240" w:lineRule="auto"/>
        <w:rPr>
          <w:sz w:val="18"/>
          <w:szCs w:val="20"/>
        </w:rPr>
      </w:pPr>
    </w:p>
    <w:tbl>
      <w:tblPr>
        <w:tblStyle w:val="GridTable4-Accent61"/>
        <w:tblW w:w="5000" w:type="pct"/>
        <w:tblLook w:val="04A0" w:firstRow="1" w:lastRow="0" w:firstColumn="1" w:lastColumn="0" w:noHBand="0" w:noVBand="1"/>
      </w:tblPr>
      <w:tblGrid>
        <w:gridCol w:w="10194"/>
      </w:tblGrid>
      <w:tr w:rsidR="00D97FEA" w:rsidRPr="00D97FEA" w14:paraId="5FFDA010"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08487D5A" w14:textId="77777777" w:rsidR="00D97FEA" w:rsidRPr="00D97FEA" w:rsidRDefault="00D97FEA" w:rsidP="00D97FEA">
            <w:pPr>
              <w:spacing w:after="0" w:before="0" w:line="240" w:lineRule="auto"/>
              <w:rPr>
                <w:sz w:val="18"/>
                <w:szCs w:val="18"/>
              </w:rPr>
            </w:pPr>
            <w:r w:rsidRPr="00D97FEA">
              <w:rPr>
                <w:rFonts w:ascii="Arial" w:hAnsi="Arial"/>
                <w:sz w:val="17"/>
                <w:szCs w:val="18"/>
              </w:rPr>
              <w:t>Strategic Plan alignment</w:t>
            </w:r>
          </w:p>
        </w:tc>
      </w:tr>
      <w:tr w:rsidR="00D97FEA" w:rsidRPr="00D97FEA" w14:paraId="44C5BAE6" w14:textId="77777777" w:rsidTr="00D97FEA">
        <w:trPr>
          <w:cnfStyle w:val="000000100000" w:firstRow="0" w:lastRow="0" w:firstColumn="0" w:lastColumn="0" w:oddVBand="0" w:evenVBand="0" w:oddHBand="1" w:evenHBand="0" w:firstRowFirstColumn="0" w:firstRowLastColumn="0" w:lastRowFirstColumn="0" w:lastRowLastColumn="0"/>
          <w:trHeight w:val="3159"/>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0" w:before="0" w:line="240" w:lineRule="auto"/>
            </w:pPr>
            <w:r>
              <w:rPr>
                <w:rFonts w:ascii="Arial" w:hAnsi="Arial"/>
                <w:sz w:val="17"/>
              </w:rPr>
              <w:t>☒ Our care – improves access to specialist neonatal assessment and support closer to home.</w:t>
              <w:br/>
              <w:t>☒ Our people – supports rural clinicians during uncommon, high-risk emergencies.</w:t>
              <w:br/>
              <w:t>☒ First Peoples health – potentially reduces geographic inequity and family displacement; consultation is required.</w:t>
              <w:br/>
              <w:t>☒ Our sustainability – tests whether lower-cost technology provides value and avoids unnecessary retrieval and tertiary care.</w:t>
              <w:br/>
              <w:br/>
              <w:t>The evaluation directly supports safe, equitable and sustainable rural care and will make the investment trade-offs explicit.</w:t>
            </w:r>
          </w:p>
        </w:tc>
      </w:tr>
    </w:tbl>
    <w:p w14:paraId="709FDE72" w14:textId="77777777" w:rsidR="00D97FEA" w:rsidRPr="00D97FEA" w:rsidRDefault="00D97FEA" w:rsidP="00D97FEA">
      <w:pPr>
        <w:spacing w:after="0" w:line="240" w:lineRule="auto"/>
      </w:pPr>
    </w:p>
    <w:tbl>
      <w:tblPr>
        <w:tblStyle w:val="GridTable4-Accent61"/>
        <w:tblW w:w="5000" w:type="pct"/>
        <w:tblLook w:val="04A0" w:firstRow="1" w:lastRow="0" w:firstColumn="1" w:lastColumn="0" w:noHBand="0" w:noVBand="1"/>
      </w:tblPr>
      <w:tblGrid>
        <w:gridCol w:w="10194"/>
      </w:tblGrid>
      <w:tr w:rsidR="00D97FEA" w:rsidRPr="00D97FEA" w14:paraId="01735B65"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4025B3E6" w14:textId="77777777" w:rsidR="00D97FEA" w:rsidRPr="00D97FEA" w:rsidRDefault="00D97FEA" w:rsidP="00D97FEA">
            <w:pPr>
              <w:spacing w:after="0" w:before="0" w:line="240" w:lineRule="auto"/>
              <w:rPr>
                <w:sz w:val="18"/>
                <w:szCs w:val="18"/>
              </w:rPr>
            </w:pPr>
            <w:r w:rsidRPr="00D97FEA">
              <w:rPr>
                <w:rFonts w:ascii="Arial" w:hAnsi="Arial"/>
                <w:sz w:val="17"/>
                <w:szCs w:val="18"/>
              </w:rPr>
              <w:t>Attachment/s</w:t>
            </w:r>
          </w:p>
        </w:tc>
      </w:tr>
      <w:tr w:rsidR="00D97FEA" w:rsidRPr="00D97FEA" w14:paraId="15A87126" w14:textId="77777777" w:rsidTr="00D9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0" w:before="0" w:line="240" w:lineRule="auto"/>
            </w:pPr>
            <w:r>
              <w:rPr>
                <w:rFonts w:ascii="Arial" w:hAnsi="Arial"/>
                <w:sz w:val="17"/>
              </w:rPr>
              <w:t>1. Panda Vision economic model v1 – 27 October 2026</w:t>
              <w:br/>
              <w:t>2. Panda Vision economic evaluation presentation – 27 October 2026</w:t>
              <w:br/>
              <w:t>3. ELC Operational paper, item 2.1.7 – 21 October 2026</w:t>
            </w:r>
          </w:p>
        </w:tc>
      </w:tr>
    </w:tbl>
    <w:p w14:paraId="7A098F20" w14:textId="77777777" w:rsidR="00D97FEA" w:rsidRPr="00D97FEA" w:rsidRDefault="00D97FEA" w:rsidP="00D97FEA">
      <w:pPr>
        <w:spacing w:after="0" w:line="240" w:lineRule="auto"/>
      </w:pPr>
    </w:p>
    <w:p w14:paraId="5BC4B409" w14:textId="77777777" w:rsidR="00D97FEA" w:rsidRPr="00D97FEA" w:rsidRDefault="00000000" w:rsidP="00D97FEA">
      <w:pPr>
        <w:rPr>
          <w:rFonts w:asciiTheme="majorHAnsi" w:hAnsiTheme="majorHAnsi" w:cstheme="majorHAnsi"/>
          <w:sz w:val="18"/>
          <w:szCs w:val="18"/>
        </w:rPr>
      </w:pPr>
      <w:sdt>
        <w:sdtPr>
          <w:rPr>
            <w:rFonts w:asciiTheme="majorHAnsi" w:hAnsiTheme="majorHAnsi" w:cstheme="majorHAnsi"/>
            <w:sz w:val="18"/>
            <w:szCs w:val="18"/>
          </w:rPr>
          <w:id w:val="2062442333"/>
          <w14:checkbox>
            <w14:checked w14:val="0"/>
            <w14:checkedState w14:val="2612" w14:font="MS Gothic"/>
            <w14:uncheckedState w14:val="2610" w14:font="MS Gothic"/>
          </w14:checkbox>
        </w:sdtPr>
        <w:sdtContent>
          <w:r w:rsidR="00D97FEA" w:rsidRPr="00D97FEA">
            <w:rPr>
              <w:rFonts w:ascii="Segoe UI Symbol" w:hAnsi="Segoe UI Symbol" w:cs="Segoe UI Symbol"/>
              <w:sz w:val="18"/>
              <w:szCs w:val="18"/>
            </w:rPr>
            <w:t>☐</w:t>
          </w:r>
        </w:sdtContent>
      </w:sdt>
      <w:r w:rsidR="00D97FEA" w:rsidRPr="00D97FEA">
        <w:rPr>
          <w:rFonts w:asciiTheme="majorHAnsi" w:hAnsiTheme="majorHAnsi" w:cstheme="majorHAnsi" w:ascii="Arial" w:hAnsi="Arial"/>
          <w:sz w:val="18"/>
          <w:szCs w:val="18"/>
        </w:rPr>
        <w:t xml:space="preserve"> </w:t>
      </w:r>
      <w:sdt>
        <w:sdtPr>
          <w:rPr>
            <w:b/>
            <w:color w:val="61854F" w:themeColor="accent1"/>
            <w:sz w:val="18"/>
          </w:rPr>
          <w:id w:val="-1916155514"/>
          <w:placeholder>
            <w:docPart w:val="CF9729AC184E43E8B74BB521B66A7D22"/>
          </w:placeholder>
          <w:showingPlcHdr/>
          <w:comboBox>
            <w:listItem w:value="Choose an item."/>
            <w:listItem w:displayText="Approved" w:value="Approved"/>
            <w:listItem w:displayText="Noted" w:value="Noted"/>
            <w:listItem w:displayText="Endorsed" w:value="Endorsed"/>
          </w:comboBox>
        </w:sdtPr>
        <w:sdtContent>
          <w:r w:rsidR="00D97FEA" w:rsidRPr="00D97FEA">
            <w:rPr>
              <w:color w:val="808080"/>
            </w:rPr>
            <w:t>Choose an item.</w:t>
          </w:r>
        </w:sdtContent>
      </w:sdt>
      <w:r w:rsidR="00D97FEA" w:rsidRPr="00D97FEA">
        <w:rPr>
          <w:rFonts w:ascii="Arial" w:hAnsi="Arial"/>
          <w:sz w:val="18"/>
        </w:rPr>
        <w:t xml:space="preserve"> </w:t>
      </w:r>
      <w:r w:rsidR="00D97FEA" w:rsidRPr="00D97FEA">
        <w:rPr>
          <w:rFonts w:asciiTheme="majorHAnsi" w:hAnsiTheme="majorHAnsi" w:cstheme="majorHAnsi" w:ascii="Arial" w:hAnsi="Arial"/>
          <w:sz w:val="18"/>
          <w:szCs w:val="18"/>
        </w:rPr>
        <w:t xml:space="preserve">/ </w:t>
      </w:r>
      <w:sdt>
        <w:sdtPr>
          <w:rPr>
            <w:rFonts w:asciiTheme="majorHAnsi" w:hAnsiTheme="majorHAnsi" w:cstheme="majorHAnsi"/>
            <w:sz w:val="18"/>
            <w:szCs w:val="18"/>
          </w:rPr>
          <w:id w:val="1273979203"/>
          <w14:checkbox>
            <w14:checked w14:val="0"/>
            <w14:checkedState w14:val="2612" w14:font="MS Gothic"/>
            <w14:uncheckedState w14:val="2610" w14:font="MS Gothic"/>
          </w14:checkbox>
        </w:sdtPr>
        <w:sdtContent>
          <w:r w:rsidR="00D97FEA" w:rsidRPr="00D97FEA">
            <w:rPr>
              <w:rFonts w:ascii="Segoe UI Symbol" w:hAnsi="Segoe UI Symbol" w:cs="Segoe UI Symbol"/>
              <w:sz w:val="18"/>
              <w:szCs w:val="18"/>
            </w:rPr>
            <w:t>☐</w:t>
          </w:r>
        </w:sdtContent>
      </w:sdt>
      <w:r w:rsidR="00D97FEA" w:rsidRPr="00D97FEA">
        <w:rPr>
          <w:rFonts w:asciiTheme="majorHAnsi" w:hAnsiTheme="majorHAnsi" w:cstheme="majorHAnsi" w:ascii="Arial" w:hAnsi="Arial"/>
          <w:sz w:val="18"/>
          <w:szCs w:val="18"/>
        </w:rPr>
        <w:t xml:space="preserve"> </w:t>
      </w:r>
      <w:sdt>
        <w:sdtPr>
          <w:rPr>
            <w:b/>
            <w:color w:val="61854F" w:themeColor="accent1"/>
            <w:sz w:val="18"/>
          </w:rPr>
          <w:id w:val="-291056233"/>
          <w:placeholder>
            <w:docPart w:val="D3D06CBA1CD848C4921638209B62A34E"/>
          </w:placeholder>
          <w:showingPlcHdr/>
          <w:comboBox>
            <w:listItem w:value="Choose an item."/>
            <w:listItem w:displayText="Not approved" w:value="Not approved"/>
            <w:listItem w:displayText="Not endorsed" w:value="Not endorsed"/>
          </w:comboBox>
        </w:sdtPr>
        <w:sdtContent>
          <w:r w:rsidR="00D97FEA" w:rsidRPr="00D97FEA">
            <w:rPr>
              <w:color w:val="808080"/>
            </w:rPr>
            <w:t>Choose an item.</w:t>
          </w:r>
        </w:sdtContent>
      </w:sdt>
    </w:p>
    <w:tbl>
      <w:tblPr>
        <w:tblW w:w="5000" w:type="pct"/>
        <w:tblLook w:val="04A0" w:firstRow="1" w:lastRow="0" w:firstColumn="1" w:lastColumn="0" w:noHBand="0" w:noVBand="1"/>
      </w:tblPr>
      <w:tblGrid>
        <w:gridCol w:w="10204"/>
      </w:tblGrid>
      <w:tr w:rsidR="00D97FEA" w:rsidRPr="00D97FEA" w14:paraId="20C434F2" w14:textId="77777777" w:rsidTr="00DA4412">
        <w:tc>
          <w:tcPr>
            <w:tcW w:w="10206" w:type="dxa"/>
            <w:vAlign w:val="center"/>
          </w:tcPr>
          <w:p w14:paraId="243BAF63" w14:textId="77777777" w:rsidR="00D97FEA" w:rsidRPr="00D97FEA" w:rsidRDefault="00D97FEA" w:rsidP="00D97FEA">
            <w:pPr>
              <w:spacing w:after="0" w:line="240" w:lineRule="auto" w:before="0"/>
              <w:rPr>
                <w:b/>
                <w:sz w:val="18"/>
              </w:rPr>
            </w:pPr>
            <w:r w:rsidRPr="00D97FEA">
              <w:rPr>
                <w:rFonts w:ascii="Arial" w:hAnsi="Arial"/>
                <w:b/>
                <w:sz w:val="17"/>
              </w:rPr>
              <w:t>By:</w:t>
            </w:r>
          </w:p>
        </w:tc>
      </w:tr>
      <w:tr w:rsidR="00D97FEA" w:rsidRPr="00D97FEA" w14:paraId="220E90D8" w14:textId="77777777" w:rsidTr="00DA4412">
        <w:tc>
          <w:tcPr>
            <w:tcW w:w="10206" w:type="dxa"/>
            <w:tcBorders>
              <w:bottom w:val="single" w:sz="4" w:space="0" w:color="auto"/>
            </w:tcBorders>
            <w:vAlign w:val="center"/>
          </w:tcPr>
          <w:p w14:paraId="222FE26F" w14:textId="77777777" w:rsidR="00D97FEA" w:rsidRPr="00D97FEA" w:rsidRDefault="00D97FEA" w:rsidP="00D97FEA">
            <w:pPr>
              <w:spacing w:after="0" w:before="0" w:line="240" w:lineRule="auto"/>
            </w:pPr>
          </w:p>
        </w:tc>
      </w:tr>
      <w:tr w:rsidR="00D97FEA" w:rsidRPr="00D97FEA" w14:paraId="1DF4179E" w14:textId="77777777" w:rsidTr="00DA4412">
        <w:trPr>
          <w:trHeight w:val="595"/>
        </w:trPr>
        <w:tc>
          <w:tcPr>
            <w:tcW w:w="10206" w:type="dxa"/>
            <w:tcBorders>
              <w:top w:val="single" w:sz="4" w:space="0" w:color="auto"/>
            </w:tcBorders>
          </w:tcPr>
          <w:p w14:paraId="23D7841D" w14:textId="77777777" w:rsidR="00D97FEA" w:rsidRPr="00D97FEA" w:rsidRDefault="00000000" w:rsidP="00D97FEA">
            <w:pPr>
              <w:spacing w:after="0" w:line="240" w:lineRule="auto" w:before="0"/>
              <w:rPr>
                <w:sz w:val="18"/>
              </w:rPr>
            </w:pPr>
            <w:sdt>
              <w:sdtPr>
                <w:rPr>
                  <w:b/>
                  <w:sz w:val="18"/>
                </w:rPr>
                <w:id w:val="47346268"/>
                <w:placeholder>
                  <w:docPart w:val="BB42D9430F4948DEBC028998FF855630"/>
                </w:placeholder>
                <w:showingPlcHdr/>
                <w:comboBox>
                  <w:listItem w:value="Choose an item."/>
                  <w:listItem w:displayText="Chair" w:value="Chair"/>
                  <w:listItem w:displayText="Chief Executive" w:value="Chief Executive"/>
                </w:comboBox>
              </w:sdtPr>
              <w:sdtContent>
                <w:r w:rsidR="00D97FEA" w:rsidRPr="00D97FEA">
                  <w:rPr>
                    <w:color w:val="808080"/>
                  </w:rPr>
                  <w:t>Choose an item.</w:t>
                </w:r>
              </w:sdtContent>
            </w:sdt>
            <w:r w:rsidR="00D97FEA" w:rsidRPr="00D97FEA">
              <w:rPr>
                <w:rFonts w:ascii="Arial" w:hAnsi="Arial"/>
                <w:sz w:val="17"/>
              </w:rPr>
              <w:br/>
              <w:t xml:space="preserve">Cairns and Hinterland Hospital and Health </w:t>
            </w:r>
            <w:sdt>
              <w:sdtPr>
                <w:rPr>
                  <w:b/>
                  <w:sz w:val="18"/>
                </w:rPr>
                <w:id w:val="1997300226"/>
                <w:placeholder>
                  <w:docPart w:val="71734E0F601747D8B4F7DA6BDD3181F7"/>
                </w:placeholder>
                <w:showingPlcHdr/>
                <w:comboBox>
                  <w:listItem w:value="Choose an item."/>
                  <w:listItem w:displayText="Service" w:value="Service"/>
                  <w:listItem w:displayText="Board" w:value="Board"/>
                  <w:listItem w:displayText="Board Audit Committee" w:value="Board Audit Committee"/>
                  <w:listItem w:displayText="Board Executive Committee" w:value="Board Executive Committee"/>
                  <w:listItem w:displayText="Board Finance and Performance Committee" w:value="Board Finance and Performance Committee"/>
                  <w:listItem w:displayText="Board Safety and Quality Committee" w:value="Board Safety and Quality Committee"/>
                </w:comboBox>
              </w:sdtPr>
              <w:sdtContent>
                <w:r w:rsidR="00D97FEA" w:rsidRPr="00D97FEA">
                  <w:rPr>
                    <w:color w:val="808080"/>
                  </w:rPr>
                  <w:t>Choose an item.</w:t>
                </w:r>
              </w:sdtContent>
            </w:sdt>
          </w:p>
        </w:tc>
      </w:tr>
      <w:tr w:rsidR="00D97FEA" w:rsidRPr="00D97FEA" w14:paraId="404C11CA" w14:textId="77777777" w:rsidTr="00DA4412">
        <w:tc>
          <w:tcPr>
            <w:tcW w:w="10206" w:type="dxa"/>
            <w:vAlign w:val="center"/>
          </w:tcPr>
          <w:p w14:paraId="383ABC06" w14:textId="77777777" w:rsidR="00D97FEA" w:rsidRPr="00D97FEA" w:rsidRDefault="00D97FEA" w:rsidP="00D97FEA">
            <w:pPr>
              <w:spacing w:after="0" w:line="240" w:lineRule="auto" w:before="0"/>
              <w:rPr>
                <w:sz w:val="18"/>
              </w:rPr>
            </w:pPr>
            <w:r w:rsidRPr="00D97FEA">
              <w:rPr>
                <w:rFonts w:ascii="Arial" w:hAnsi="Arial"/>
                <w:b/>
                <w:sz w:val="17"/>
              </w:rPr>
              <w:t>Date:</w:t>
            </w:r>
            <w:r w:rsidRPr="00D97FEA">
              <w:rPr>
                <w:rFonts w:ascii="Arial" w:hAnsi="Arial"/>
                <w:sz w:val="17"/>
              </w:rPr>
              <w:t xml:space="preserve">               /          /</w:t>
            </w:r>
          </w:p>
        </w:tc>
      </w:tr>
    </w:tbl>
    <w:p w14:paraId="41534388" w14:textId="77777777" w:rsidR="00D97FEA" w:rsidRPr="00D97FEA" w:rsidRDefault="00D97FEA" w:rsidP="00D97FEA">
      <w:pPr>
        <w:spacing w:after="0" w:line="240" w:lineRule="auto"/>
      </w:pPr>
    </w:p>
    <w:tbl>
      <w:tblPr>
        <w:tblStyle w:val="GridTable4-Accent61"/>
        <w:tblW w:w="5000" w:type="pct"/>
        <w:tblCellMar>
          <w:top w:w="108" w:type="dxa"/>
          <w:bottom w:w="108" w:type="dxa"/>
        </w:tblCellMar>
        <w:tblLook w:val="04A0" w:firstRow="1" w:lastRow="0" w:firstColumn="1" w:lastColumn="0" w:noHBand="0" w:noVBand="1"/>
      </w:tblPr>
      <w:tblGrid>
        <w:gridCol w:w="10194"/>
      </w:tblGrid>
      <w:tr w:rsidR="00D97FEA" w:rsidRPr="00D97FEA" w14:paraId="23207F50"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14:paraId="32528762" w14:textId="77777777" w:rsidR="00D97FEA" w:rsidRPr="00D97FEA" w:rsidRDefault="00D97FEA" w:rsidP="00D97FEA">
            <w:pPr>
              <w:spacing w:after="0" w:before="0" w:line="240" w:lineRule="auto"/>
              <w:rPr>
                <w:sz w:val="18"/>
                <w:szCs w:val="18"/>
              </w:rPr>
            </w:pPr>
            <w:r w:rsidRPr="00D97FEA">
              <w:rPr>
                <w:rFonts w:ascii="Arial" w:hAnsi="Arial"/>
                <w:sz w:val="17"/>
                <w:szCs w:val="18"/>
              </w:rPr>
              <w:t>Comments</w:t>
            </w:r>
          </w:p>
        </w:tc>
      </w:tr>
      <w:tr w:rsidR="00D97FEA" w:rsidRPr="00D97FEA" w14:paraId="329FFF0A" w14:textId="77777777" w:rsidTr="00D97FEA">
        <w:trPr>
          <w:cnfStyle w:val="000000100000" w:firstRow="0" w:lastRow="0" w:firstColumn="0" w:lastColumn="0" w:oddVBand="0" w:evenVBand="0" w:oddHBand="1" w:evenHBand="0" w:firstRowFirstColumn="0" w:firstRowLastColumn="0" w:lastRowFirstColumn="0" w:lastRowLastColumn="0"/>
          <w:trHeight w:val="1639"/>
        </w:trPr>
        <w:tc>
          <w:tcPr>
            <w:cnfStyle w:val="001000000000" w:firstRow="0" w:lastRow="0" w:firstColumn="1" w:lastColumn="0" w:oddVBand="0" w:evenVBand="0" w:oddHBand="0" w:evenHBand="0" w:firstRowFirstColumn="0" w:firstRowLastColumn="0" w:lastRowFirstColumn="0" w:lastRowLastColumn="0"/>
            <w:tcW w:w="9736" w:type="dxa"/>
          </w:tcPr>
          <w:p w14:paraId="30C0E932" w14:textId="77777777" w:rsidR="00D97FEA" w:rsidRPr="00D97FEA" w:rsidRDefault="00D97FEA" w:rsidP="00D97FEA">
            <w:pPr>
              <w:spacing w:after="0" w:before="0" w:line="240" w:lineRule="auto"/>
              <w:rPr>
                <w:sz w:val="18"/>
                <w:szCs w:val="18"/>
              </w:rPr>
            </w:pPr>
          </w:p>
          <w:p w14:paraId="73BEE16D" w14:textId="77777777" w:rsidR="00D97FEA" w:rsidRPr="00D97FEA" w:rsidRDefault="00D97FEA" w:rsidP="00D97FEA">
            <w:pPr>
              <w:spacing w:after="0" w:before="0" w:line="240" w:lineRule="auto"/>
              <w:rPr>
                <w:sz w:val="18"/>
                <w:szCs w:val="18"/>
              </w:rPr>
            </w:pPr>
          </w:p>
          <w:p w14:paraId="7CDB10A0" w14:textId="77777777" w:rsidR="00D97FEA" w:rsidRPr="00D97FEA" w:rsidRDefault="00D97FEA" w:rsidP="00D97FEA">
            <w:pPr>
              <w:spacing w:after="0" w:before="0" w:line="240" w:lineRule="auto"/>
              <w:rPr>
                <w:sz w:val="18"/>
                <w:szCs w:val="18"/>
              </w:rPr>
            </w:pPr>
          </w:p>
          <w:p w14:paraId="6088A787" w14:textId="6FBAAFE5" w:rsidR="00D97FEA" w:rsidRDefault="00D97FEA" w:rsidP="00D97FEA">
            <w:pPr>
              <w:spacing w:after="0" w:before="0" w:line="240" w:lineRule="auto"/>
              <w:rPr>
                <w:bCs w:val="0"/>
                <w:sz w:val="18"/>
                <w:szCs w:val="18"/>
              </w:rPr>
            </w:pPr>
          </w:p>
          <w:p w14:paraId="67FAC991" w14:textId="1B13B6BD" w:rsidR="00D97FEA" w:rsidRDefault="00D97FEA" w:rsidP="00D97FEA">
            <w:pPr>
              <w:spacing w:after="0" w:before="0" w:line="240" w:lineRule="auto"/>
              <w:rPr>
                <w:bCs w:val="0"/>
                <w:sz w:val="18"/>
                <w:szCs w:val="18"/>
              </w:rPr>
            </w:pPr>
          </w:p>
          <w:p w14:paraId="5E563C30" w14:textId="35023513" w:rsidR="00D97FEA" w:rsidRDefault="00D97FEA" w:rsidP="00D97FEA">
            <w:pPr>
              <w:spacing w:after="0" w:before="0" w:line="240" w:lineRule="auto"/>
              <w:rPr>
                <w:bCs w:val="0"/>
                <w:sz w:val="18"/>
                <w:szCs w:val="18"/>
              </w:rPr>
            </w:pPr>
          </w:p>
          <w:p w14:paraId="30BAEC66" w14:textId="77777777" w:rsidR="00FB4E1B" w:rsidRDefault="00FB4E1B" w:rsidP="00D97FEA">
            <w:pPr>
              <w:spacing w:after="0" w:before="0" w:line="240" w:lineRule="auto"/>
              <w:rPr>
                <w:sz w:val="18"/>
                <w:szCs w:val="18"/>
              </w:rPr>
            </w:pPr>
          </w:p>
          <w:p w14:paraId="1FDA496D" w14:textId="77777777" w:rsidR="00DA4412" w:rsidRDefault="00DA4412" w:rsidP="00D97FEA">
            <w:pPr>
              <w:spacing w:after="0" w:before="0" w:line="240" w:lineRule="auto"/>
              <w:rPr>
                <w:bCs w:val="0"/>
                <w:sz w:val="18"/>
                <w:szCs w:val="18"/>
              </w:rPr>
            </w:pPr>
          </w:p>
          <w:p w14:paraId="265F572C" w14:textId="77777777" w:rsidR="00D97FEA" w:rsidRPr="00D97FEA" w:rsidRDefault="00D97FEA" w:rsidP="00D97FEA">
            <w:pPr>
              <w:spacing w:after="0" w:before="0" w:line="240" w:lineRule="auto"/>
              <w:rPr>
                <w:sz w:val="18"/>
                <w:szCs w:val="18"/>
              </w:rPr>
            </w:pPr>
          </w:p>
        </w:tc>
      </w:tr>
    </w:tbl>
    <w:p w14:paraId="152FDAD7" w14:textId="7F9F27E5" w:rsidR="004F48EE" w:rsidRPr="00D97FEA" w:rsidRDefault="004F48EE" w:rsidP="00D97FEA"/>
    <w:sectPr w:rsidR="004F48EE" w:rsidRPr="00D97FEA" w:rsidSect="00CC50E1">
      <w:headerReference w:type="default" r:id="rId8"/>
      <w:footerReference w:type="default" r:id="rId9"/>
      <w:headerReference w:type="first" r:id="rId10"/>
      <w:footerReference w:type="first" r:id="rId11"/>
      <w:pgSz w:w="11906" w:h="16838" w:code="9"/>
      <w:pgMar w:top="1701" w:right="851" w:bottom="1418" w:left="851" w:header="34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D551C" w14:textId="77777777" w:rsidR="00842598" w:rsidRDefault="00842598" w:rsidP="009A3EAD">
      <w:r>
        <w:separator/>
      </w:r>
    </w:p>
  </w:endnote>
  <w:endnote w:type="continuationSeparator" w:id="0">
    <w:p w14:paraId="58A64C3F" w14:textId="77777777" w:rsidR="00842598" w:rsidRDefault="00842598" w:rsidP="009A3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E464F" w14:textId="350A0AD6" w:rsidR="00EB341B" w:rsidRPr="00894D5A" w:rsidRDefault="00894D5A" w:rsidP="000A6AA6">
    <w:pPr>
      <w:pStyle w:val="Caption"/>
    </w:pPr>
    <w:r w:rsidRPr="00FE7D13">
      <w:t xml:space="preserve">Page </w:t>
    </w:r>
    <w:r w:rsidRPr="00FE7D13">
      <w:fldChar w:fldCharType="begin"/>
    </w:r>
    <w:r w:rsidRPr="00FE7D13">
      <w:instrText xml:space="preserve"> PAGE </w:instrText>
    </w:r>
    <w:r w:rsidRPr="00FE7D13">
      <w:fldChar w:fldCharType="separate"/>
    </w:r>
    <w:r w:rsidR="00F529FB">
      <w:rPr>
        <w:noProof/>
      </w:rPr>
      <w:t>2</w:t>
    </w:r>
    <w:r w:rsidRPr="00FE7D13">
      <w:fldChar w:fldCharType="end"/>
    </w:r>
    <w:r w:rsidRPr="00FE7D13">
      <w:t xml:space="preserve"> of </w:t>
    </w:r>
    <w:fldSimple w:instr=" NUMPAGES ">
      <w:r w:rsidR="00F529FB">
        <w:rPr>
          <w:noProof/>
        </w:rPr>
        <w:t>2</w:t>
      </w:r>
    </w:fldSimple>
    <w:r w:rsidR="00960FB0">
      <w:rPr>
        <w:noProof/>
      </w:rPr>
      <w:drawing>
        <wp:anchor distT="0" distB="0" distL="114300" distR="114300" simplePos="0" relativeHeight="251665408" behindDoc="1" locked="0" layoutInCell="1" allowOverlap="1" wp14:anchorId="5D4E7959" wp14:editId="5F6313AA">
          <wp:simplePos x="0" y="0"/>
          <wp:positionH relativeFrom="page">
            <wp:align>right</wp:align>
          </wp:positionH>
          <wp:positionV relativeFrom="page">
            <wp:align>bottom</wp:align>
          </wp:positionV>
          <wp:extent cx="15102000" cy="925200"/>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91302"/>
                  <a:stretch/>
                </pic:blipFill>
                <pic:spPr bwMode="auto">
                  <a:xfrm>
                    <a:off x="0" y="0"/>
                    <a:ext cx="15102000" cy="92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BCA03" w14:textId="0E35B031" w:rsidR="00EB341B" w:rsidRPr="00894D5A" w:rsidRDefault="0013687C" w:rsidP="00894D5A">
    <w:pPr>
      <w:pStyle w:val="Caption"/>
      <w:ind w:left="-284"/>
    </w:pPr>
    <w:r>
      <w:rPr>
        <w:noProof/>
      </w:rPr>
      <w:drawing>
        <wp:inline distT="0" distB="0" distL="0" distR="0" wp14:anchorId="60F59678" wp14:editId="0B2947DF">
          <wp:extent cx="3785190" cy="363672"/>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0753" cy="366128"/>
                  </a:xfrm>
                  <a:prstGeom prst="rect">
                    <a:avLst/>
                  </a:prstGeom>
                  <a:noFill/>
                  <a:ln>
                    <a:noFill/>
                  </a:ln>
                </pic:spPr>
              </pic:pic>
            </a:graphicData>
          </a:graphic>
        </wp:inline>
      </w:drawing>
    </w:r>
    <w:r w:rsidR="00960FB0">
      <w:rPr>
        <w:noProof/>
      </w:rPr>
      <w:drawing>
        <wp:anchor distT="0" distB="0" distL="114300" distR="114300" simplePos="0" relativeHeight="251663360" behindDoc="1" locked="0" layoutInCell="1" allowOverlap="1" wp14:anchorId="083FBB6B" wp14:editId="5573EE65">
          <wp:simplePos x="0" y="0"/>
          <wp:positionH relativeFrom="page">
            <wp:align>right</wp:align>
          </wp:positionH>
          <wp:positionV relativeFrom="page">
            <wp:align>bottom</wp:align>
          </wp:positionV>
          <wp:extent cx="15102000" cy="925200"/>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
                    <a:extLst>
                      <a:ext uri="{28A0092B-C50C-407E-A947-70E740481C1C}">
                        <a14:useLocalDpi xmlns:a14="http://schemas.microsoft.com/office/drawing/2010/main" val="0"/>
                      </a:ext>
                    </a:extLst>
                  </a:blip>
                  <a:srcRect t="91302"/>
                  <a:stretch/>
                </pic:blipFill>
                <pic:spPr bwMode="auto">
                  <a:xfrm>
                    <a:off x="0" y="0"/>
                    <a:ext cx="15102000" cy="92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E042E" w14:textId="77777777" w:rsidR="00842598" w:rsidRDefault="00842598" w:rsidP="009A3EAD">
      <w:r>
        <w:separator/>
      </w:r>
    </w:p>
  </w:footnote>
  <w:footnote w:type="continuationSeparator" w:id="0">
    <w:p w14:paraId="1BC8A6D7" w14:textId="77777777" w:rsidR="00842598" w:rsidRDefault="00842598" w:rsidP="009A3E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C4E7" w14:textId="61585C45" w:rsidR="00960FB0" w:rsidRDefault="00960FB0">
    <w:pPr>
      <w:pStyle w:val="Header"/>
    </w:pPr>
    <w:r>
      <w:rPr>
        <w:noProof/>
      </w:rPr>
      <w:drawing>
        <wp:anchor distT="0" distB="0" distL="114300" distR="114300" simplePos="0" relativeHeight="251661312" behindDoc="1" locked="0" layoutInCell="1" allowOverlap="1" wp14:anchorId="15D8BB8E" wp14:editId="12351182">
          <wp:simplePos x="0" y="0"/>
          <wp:positionH relativeFrom="page">
            <wp:align>right</wp:align>
          </wp:positionH>
          <wp:positionV relativeFrom="page">
            <wp:align>top</wp:align>
          </wp:positionV>
          <wp:extent cx="15102000" cy="892800"/>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b="91657"/>
                  <a:stretch/>
                </pic:blipFill>
                <pic:spPr bwMode="auto">
                  <a:xfrm>
                    <a:off x="0" y="0"/>
                    <a:ext cx="15102000" cy="89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8C77E" w14:textId="773683C0" w:rsidR="00EB341B" w:rsidRDefault="007432E8" w:rsidP="009A3EAD">
    <w:r>
      <w:rPr>
        <w:noProof/>
      </w:rPr>
      <w:drawing>
        <wp:anchor distT="0" distB="0" distL="114300" distR="114300" simplePos="0" relativeHeight="251658240" behindDoc="1" locked="0" layoutInCell="1" allowOverlap="1" wp14:anchorId="4710FBB7" wp14:editId="410482BB">
          <wp:simplePos x="0" y="0"/>
          <wp:positionH relativeFrom="page">
            <wp:align>right</wp:align>
          </wp:positionH>
          <wp:positionV relativeFrom="page">
            <wp:align>top</wp:align>
          </wp:positionV>
          <wp:extent cx="15102000" cy="1645200"/>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ersion1.png"/>
                  <pic:cNvPicPr/>
                </pic:nvPicPr>
                <pic:blipFill rotWithShape="1">
                  <a:blip r:embed="rId1">
                    <a:extLst>
                      <a:ext uri="{28A0092B-C50C-407E-A947-70E740481C1C}">
                        <a14:useLocalDpi xmlns:a14="http://schemas.microsoft.com/office/drawing/2010/main" val="0"/>
                      </a:ext>
                    </a:extLst>
                  </a:blip>
                  <a:srcRect b="84602"/>
                  <a:stretch/>
                </pic:blipFill>
                <pic:spPr bwMode="auto">
                  <a:xfrm>
                    <a:off x="0" y="0"/>
                    <a:ext cx="15102000" cy="1645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0FB0">
      <w:rPr>
        <w:noProof/>
      </w:rPr>
      <w:drawing>
        <wp:anchor distT="0" distB="0" distL="114300" distR="114300" simplePos="0" relativeHeight="251659264" behindDoc="1" locked="0" layoutInCell="1" allowOverlap="1" wp14:anchorId="28B23226" wp14:editId="01694D72">
          <wp:simplePos x="0" y="0"/>
          <wp:positionH relativeFrom="margin">
            <wp:align>left</wp:align>
          </wp:positionH>
          <wp:positionV relativeFrom="page">
            <wp:posOffset>360045</wp:posOffset>
          </wp:positionV>
          <wp:extent cx="2350800" cy="432000"/>
          <wp:effectExtent l="0" t="0" r="0" b="6350"/>
          <wp:wrapTight wrapText="bothSides">
            <wp:wrapPolygon edited="0">
              <wp:start x="0" y="0"/>
              <wp:lineTo x="0" y="20012"/>
              <wp:lineTo x="2276" y="20965"/>
              <wp:lineTo x="3151" y="20965"/>
              <wp:lineTo x="17854" y="20965"/>
              <wp:lineTo x="19780" y="20012"/>
              <wp:lineTo x="19254" y="15247"/>
              <wp:lineTo x="21355" y="10482"/>
              <wp:lineTo x="21355" y="0"/>
              <wp:lineTo x="0" y="0"/>
            </wp:wrapPolygon>
          </wp:wrapTight>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50800" cy="43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4429"/>
    <w:multiLevelType w:val="hybridMultilevel"/>
    <w:tmpl w:val="36E40F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9547F74"/>
    <w:multiLevelType w:val="hybridMultilevel"/>
    <w:tmpl w:val="9B7461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BF4B5B"/>
    <w:multiLevelType w:val="hybridMultilevel"/>
    <w:tmpl w:val="2AF095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5C1619"/>
    <w:multiLevelType w:val="hybridMultilevel"/>
    <w:tmpl w:val="F49C97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2DF0B9B"/>
    <w:multiLevelType w:val="hybridMultilevel"/>
    <w:tmpl w:val="BD7E1BE6"/>
    <w:lvl w:ilvl="0" w:tplc="0B9CDB26">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EBD3B93"/>
    <w:multiLevelType w:val="hybridMultilevel"/>
    <w:tmpl w:val="483A4C00"/>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C53798C"/>
    <w:multiLevelType w:val="hybridMultilevel"/>
    <w:tmpl w:val="A8543D6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DFB7C4C"/>
    <w:multiLevelType w:val="hybridMultilevel"/>
    <w:tmpl w:val="C58AB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79C018D"/>
    <w:multiLevelType w:val="hybridMultilevel"/>
    <w:tmpl w:val="752225CA"/>
    <w:lvl w:ilvl="0" w:tplc="25E4EA78">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BA71AD2"/>
    <w:multiLevelType w:val="hybridMultilevel"/>
    <w:tmpl w:val="643009CA"/>
    <w:lvl w:ilvl="0" w:tplc="0C09000D">
      <w:start w:val="1"/>
      <w:numFmt w:val="bullet"/>
      <w:lvlText w:val=""/>
      <w:lvlJc w:val="left"/>
      <w:pPr>
        <w:ind w:left="720" w:hanging="360"/>
      </w:pPr>
      <w:rPr>
        <w:rFonts w:ascii="Wingdings" w:hAnsi="Wingding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75600205">
    <w:abstractNumId w:val="1"/>
  </w:num>
  <w:num w:numId="2" w16cid:durableId="1032999209">
    <w:abstractNumId w:val="5"/>
  </w:num>
  <w:num w:numId="3" w16cid:durableId="799303867">
    <w:abstractNumId w:val="0"/>
  </w:num>
  <w:num w:numId="4" w16cid:durableId="957564642">
    <w:abstractNumId w:val="9"/>
  </w:num>
  <w:num w:numId="5" w16cid:durableId="1580477875">
    <w:abstractNumId w:val="7"/>
  </w:num>
  <w:num w:numId="6" w16cid:durableId="1932927594">
    <w:abstractNumId w:val="8"/>
  </w:num>
  <w:num w:numId="7" w16cid:durableId="586891597">
    <w:abstractNumId w:val="3"/>
  </w:num>
  <w:num w:numId="8" w16cid:durableId="549654892">
    <w:abstractNumId w:val="4"/>
  </w:num>
  <w:num w:numId="9" w16cid:durableId="1589313931">
    <w:abstractNumId w:val="2"/>
  </w:num>
  <w:num w:numId="10" w16cid:durableId="20957411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LockTheme/>
  <w:styleLockQFSet/>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8EE"/>
    <w:rsid w:val="000A6AA6"/>
    <w:rsid w:val="000B3E4F"/>
    <w:rsid w:val="000C78F5"/>
    <w:rsid w:val="00124667"/>
    <w:rsid w:val="0013687C"/>
    <w:rsid w:val="001544C2"/>
    <w:rsid w:val="001861CC"/>
    <w:rsid w:val="001976E0"/>
    <w:rsid w:val="001B6E92"/>
    <w:rsid w:val="002075B3"/>
    <w:rsid w:val="00246C30"/>
    <w:rsid w:val="00250BD9"/>
    <w:rsid w:val="002B79EB"/>
    <w:rsid w:val="002D6463"/>
    <w:rsid w:val="002F4C39"/>
    <w:rsid w:val="0030110A"/>
    <w:rsid w:val="00343084"/>
    <w:rsid w:val="00361A91"/>
    <w:rsid w:val="00371831"/>
    <w:rsid w:val="00373466"/>
    <w:rsid w:val="003A5C46"/>
    <w:rsid w:val="003B70B8"/>
    <w:rsid w:val="003E74BC"/>
    <w:rsid w:val="004749F8"/>
    <w:rsid w:val="004D0432"/>
    <w:rsid w:val="004F48EE"/>
    <w:rsid w:val="00513527"/>
    <w:rsid w:val="00525C8A"/>
    <w:rsid w:val="0052699D"/>
    <w:rsid w:val="005276A1"/>
    <w:rsid w:val="00534DB3"/>
    <w:rsid w:val="005428FC"/>
    <w:rsid w:val="00575706"/>
    <w:rsid w:val="005B35E7"/>
    <w:rsid w:val="005D72C4"/>
    <w:rsid w:val="005D7EA8"/>
    <w:rsid w:val="00607B17"/>
    <w:rsid w:val="00635118"/>
    <w:rsid w:val="006C3117"/>
    <w:rsid w:val="00721BC3"/>
    <w:rsid w:val="00721C70"/>
    <w:rsid w:val="00735B07"/>
    <w:rsid w:val="007432E8"/>
    <w:rsid w:val="00751F41"/>
    <w:rsid w:val="007D5D34"/>
    <w:rsid w:val="00842598"/>
    <w:rsid w:val="0088078B"/>
    <w:rsid w:val="00894D5A"/>
    <w:rsid w:val="009162D2"/>
    <w:rsid w:val="00925E47"/>
    <w:rsid w:val="00950DE1"/>
    <w:rsid w:val="00960FB0"/>
    <w:rsid w:val="0096143E"/>
    <w:rsid w:val="009A3EAD"/>
    <w:rsid w:val="009B6F4A"/>
    <w:rsid w:val="009C5D54"/>
    <w:rsid w:val="00A06E62"/>
    <w:rsid w:val="00A1783D"/>
    <w:rsid w:val="00A25B72"/>
    <w:rsid w:val="00A42DC1"/>
    <w:rsid w:val="00AA1882"/>
    <w:rsid w:val="00AC4223"/>
    <w:rsid w:val="00AD48AA"/>
    <w:rsid w:val="00B25DDE"/>
    <w:rsid w:val="00C12181"/>
    <w:rsid w:val="00C370A6"/>
    <w:rsid w:val="00CC50E1"/>
    <w:rsid w:val="00CD1C13"/>
    <w:rsid w:val="00CD5660"/>
    <w:rsid w:val="00D0549C"/>
    <w:rsid w:val="00D603DF"/>
    <w:rsid w:val="00D860A4"/>
    <w:rsid w:val="00D97FEA"/>
    <w:rsid w:val="00DA4412"/>
    <w:rsid w:val="00DF36A8"/>
    <w:rsid w:val="00E11738"/>
    <w:rsid w:val="00EB1E3F"/>
    <w:rsid w:val="00EB341B"/>
    <w:rsid w:val="00EF1E1B"/>
    <w:rsid w:val="00F07B23"/>
    <w:rsid w:val="00F529FB"/>
    <w:rsid w:val="00F74C39"/>
    <w:rsid w:val="00F80E38"/>
    <w:rsid w:val="00FB4E1B"/>
    <w:rsid w:val="00FD78FB"/>
    <w:rsid w:val="00FF61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E49D"/>
  <w15:chartTrackingRefBased/>
  <w15:docId w15:val="{8CBBED74-AE56-4FAD-B387-3B0FC45EE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semiHidden="1" w:uiPriority="22" w:qFormat="1"/>
    <w:lsdException w:name="Emphasis" w:locked="1"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locked="1" w:semiHidden="1"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527"/>
    <w:rPr>
      <w:sz w:val="20"/>
    </w:rPr>
  </w:style>
  <w:style w:type="paragraph" w:styleId="Heading1">
    <w:name w:val="heading 1"/>
    <w:basedOn w:val="Normal"/>
    <w:next w:val="Normal"/>
    <w:link w:val="Heading1Char"/>
    <w:uiPriority w:val="9"/>
    <w:qFormat/>
    <w:rsid w:val="005B35E7"/>
    <w:pPr>
      <w:keepNext/>
      <w:keepLines/>
      <w:spacing w:before="240" w:after="0"/>
      <w:outlineLvl w:val="0"/>
    </w:pPr>
    <w:rPr>
      <w:rFonts w:asciiTheme="majorHAnsi" w:eastAsiaTheme="majorEastAsia" w:hAnsiTheme="majorHAnsi" w:cstheme="majorBidi"/>
      <w:b/>
      <w:color w:val="368794" w:themeColor="accent4"/>
      <w:sz w:val="40"/>
      <w:szCs w:val="40"/>
    </w:rPr>
  </w:style>
  <w:style w:type="paragraph" w:styleId="Heading2">
    <w:name w:val="heading 2"/>
    <w:basedOn w:val="Normal"/>
    <w:next w:val="Normal"/>
    <w:link w:val="Heading2Char"/>
    <w:uiPriority w:val="9"/>
    <w:qFormat/>
    <w:rsid w:val="005B35E7"/>
    <w:pPr>
      <w:keepNext/>
      <w:keepLines/>
      <w:spacing w:before="40" w:after="0"/>
      <w:outlineLvl w:val="1"/>
    </w:pPr>
    <w:rPr>
      <w:rFonts w:asciiTheme="majorHAnsi" w:eastAsiaTheme="majorEastAsia" w:hAnsiTheme="majorHAnsi" w:cstheme="majorBidi"/>
      <w:b/>
      <w:color w:val="368794" w:themeColor="accent4"/>
      <w:sz w:val="32"/>
      <w:szCs w:val="32"/>
    </w:rPr>
  </w:style>
  <w:style w:type="paragraph" w:styleId="Heading3">
    <w:name w:val="heading 3"/>
    <w:basedOn w:val="Normal"/>
    <w:next w:val="Normal"/>
    <w:link w:val="Heading3Char"/>
    <w:uiPriority w:val="9"/>
    <w:qFormat/>
    <w:rsid w:val="005B35E7"/>
    <w:pPr>
      <w:keepNext/>
      <w:keepLines/>
      <w:spacing w:before="40" w:after="0"/>
      <w:outlineLvl w:val="2"/>
    </w:pPr>
    <w:rPr>
      <w:rFonts w:asciiTheme="majorHAnsi" w:eastAsiaTheme="majorEastAsia" w:hAnsiTheme="majorHAnsi" w:cstheme="majorBidi"/>
      <w:b/>
      <w:color w:val="368794" w:themeColor="accent4"/>
      <w:sz w:val="28"/>
      <w:szCs w:val="28"/>
    </w:rPr>
  </w:style>
  <w:style w:type="paragraph" w:styleId="Heading4">
    <w:name w:val="heading 4"/>
    <w:basedOn w:val="Normal"/>
    <w:next w:val="Normal"/>
    <w:link w:val="Heading4Char"/>
    <w:uiPriority w:val="9"/>
    <w:qFormat/>
    <w:rsid w:val="005B35E7"/>
    <w:pPr>
      <w:keepNext/>
      <w:keepLines/>
      <w:spacing w:before="40" w:after="0"/>
      <w:outlineLvl w:val="3"/>
    </w:pPr>
    <w:rPr>
      <w:rFonts w:asciiTheme="majorHAnsi" w:eastAsiaTheme="majorEastAsia" w:hAnsiTheme="majorHAnsi" w:cstheme="majorBidi"/>
      <w:i/>
      <w:iCs/>
      <w:color w:val="368794" w:themeColor="accent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F48EE"/>
    <w:pPr>
      <w:tabs>
        <w:tab w:val="center" w:pos="4513"/>
        <w:tab w:val="right" w:pos="9026"/>
      </w:tabs>
      <w:spacing w:after="0" w:line="240" w:lineRule="auto"/>
    </w:pPr>
  </w:style>
  <w:style w:type="character" w:customStyle="1" w:styleId="FooterChar">
    <w:name w:val="Footer Char"/>
    <w:basedOn w:val="DefaultParagraphFont"/>
    <w:link w:val="Footer"/>
    <w:semiHidden/>
    <w:rsid w:val="00513527"/>
    <w:rPr>
      <w:sz w:val="20"/>
    </w:rPr>
  </w:style>
  <w:style w:type="table" w:styleId="TableGrid">
    <w:name w:val="Table Grid"/>
    <w:basedOn w:val="TableNormal"/>
    <w:uiPriority w:val="59"/>
    <w:rsid w:val="004F4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F48EE"/>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tcPr>
    </w:tblStylePr>
    <w:tblStylePr w:type="lastRow">
      <w:rPr>
        <w:b/>
        <w:bCs/>
      </w:rPr>
      <w:tblPr/>
      <w:tcPr>
        <w:tcBorders>
          <w:top w:val="double" w:sz="4" w:space="0" w:color="7F7F7F"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character" w:customStyle="1" w:styleId="Heading1Char">
    <w:name w:val="Heading 1 Char"/>
    <w:basedOn w:val="DefaultParagraphFont"/>
    <w:link w:val="Heading1"/>
    <w:uiPriority w:val="9"/>
    <w:rsid w:val="005B35E7"/>
    <w:rPr>
      <w:rFonts w:asciiTheme="majorHAnsi" w:eastAsiaTheme="majorEastAsia" w:hAnsiTheme="majorHAnsi" w:cstheme="majorBidi"/>
      <w:b/>
      <w:color w:val="368794" w:themeColor="accent4"/>
      <w:sz w:val="40"/>
      <w:szCs w:val="40"/>
    </w:rPr>
  </w:style>
  <w:style w:type="character" w:customStyle="1" w:styleId="Heading2Char">
    <w:name w:val="Heading 2 Char"/>
    <w:basedOn w:val="DefaultParagraphFont"/>
    <w:link w:val="Heading2"/>
    <w:uiPriority w:val="9"/>
    <w:rsid w:val="00513527"/>
    <w:rPr>
      <w:rFonts w:asciiTheme="majorHAnsi" w:eastAsiaTheme="majorEastAsia" w:hAnsiTheme="majorHAnsi" w:cstheme="majorBidi"/>
      <w:b/>
      <w:color w:val="368794" w:themeColor="accent4"/>
      <w:sz w:val="32"/>
      <w:szCs w:val="32"/>
    </w:rPr>
  </w:style>
  <w:style w:type="character" w:customStyle="1" w:styleId="Heading3Char">
    <w:name w:val="Heading 3 Char"/>
    <w:basedOn w:val="DefaultParagraphFont"/>
    <w:link w:val="Heading3"/>
    <w:uiPriority w:val="9"/>
    <w:rsid w:val="00513527"/>
    <w:rPr>
      <w:rFonts w:asciiTheme="majorHAnsi" w:eastAsiaTheme="majorEastAsia" w:hAnsiTheme="majorHAnsi" w:cstheme="majorBidi"/>
      <w:b/>
      <w:color w:val="368794" w:themeColor="accent4"/>
      <w:sz w:val="28"/>
      <w:szCs w:val="28"/>
    </w:rPr>
  </w:style>
  <w:style w:type="paragraph" w:styleId="Title">
    <w:name w:val="Title"/>
    <w:basedOn w:val="Normal"/>
    <w:next w:val="Normal"/>
    <w:link w:val="TitleChar"/>
    <w:uiPriority w:val="10"/>
    <w:qFormat/>
    <w:rsid w:val="0088078B"/>
    <w:pPr>
      <w:spacing w:after="0" w:line="240" w:lineRule="auto"/>
      <w:contextualSpacing/>
    </w:pPr>
    <w:rPr>
      <w:rFonts w:asciiTheme="majorHAnsi" w:eastAsiaTheme="majorEastAsia" w:hAnsiTheme="majorHAnsi" w:cstheme="majorBidi"/>
      <w:b/>
      <w:color w:val="82B06B" w:themeColor="accent2"/>
      <w:spacing w:val="-10"/>
      <w:kern w:val="28"/>
      <w:sz w:val="90"/>
      <w:szCs w:val="90"/>
    </w:rPr>
  </w:style>
  <w:style w:type="character" w:customStyle="1" w:styleId="TitleChar">
    <w:name w:val="Title Char"/>
    <w:basedOn w:val="DefaultParagraphFont"/>
    <w:link w:val="Title"/>
    <w:uiPriority w:val="10"/>
    <w:rsid w:val="0088078B"/>
    <w:rPr>
      <w:rFonts w:asciiTheme="majorHAnsi" w:eastAsiaTheme="majorEastAsia" w:hAnsiTheme="majorHAnsi" w:cstheme="majorBidi"/>
      <w:b/>
      <w:color w:val="82B06B" w:themeColor="accent2"/>
      <w:spacing w:val="-10"/>
      <w:kern w:val="28"/>
      <w:sz w:val="90"/>
      <w:szCs w:val="90"/>
    </w:rPr>
  </w:style>
  <w:style w:type="character" w:customStyle="1" w:styleId="Heading4Char">
    <w:name w:val="Heading 4 Char"/>
    <w:basedOn w:val="DefaultParagraphFont"/>
    <w:link w:val="Heading4"/>
    <w:uiPriority w:val="9"/>
    <w:rsid w:val="00513527"/>
    <w:rPr>
      <w:rFonts w:asciiTheme="majorHAnsi" w:eastAsiaTheme="majorEastAsia" w:hAnsiTheme="majorHAnsi" w:cstheme="majorBidi"/>
      <w:i/>
      <w:iCs/>
      <w:color w:val="368794" w:themeColor="accent4"/>
      <w:sz w:val="28"/>
    </w:rPr>
  </w:style>
  <w:style w:type="paragraph" w:styleId="ListParagraph">
    <w:name w:val="List Paragraph"/>
    <w:basedOn w:val="Normal"/>
    <w:uiPriority w:val="34"/>
    <w:qFormat/>
    <w:rsid w:val="00EB341B"/>
    <w:pPr>
      <w:ind w:left="720"/>
      <w:contextualSpacing/>
    </w:pPr>
  </w:style>
  <w:style w:type="paragraph" w:styleId="BalloonText">
    <w:name w:val="Balloon Text"/>
    <w:basedOn w:val="Normal"/>
    <w:link w:val="BalloonTextChar"/>
    <w:uiPriority w:val="99"/>
    <w:semiHidden/>
    <w:unhideWhenUsed/>
    <w:rsid w:val="005276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6A1"/>
    <w:rPr>
      <w:rFonts w:ascii="Segoe UI" w:hAnsi="Segoe UI" w:cs="Segoe UI"/>
      <w:sz w:val="18"/>
      <w:szCs w:val="18"/>
    </w:rPr>
  </w:style>
  <w:style w:type="table" w:styleId="GridTable4-Accent2">
    <w:name w:val="Grid Table 4 Accent 2"/>
    <w:basedOn w:val="TableNormal"/>
    <w:uiPriority w:val="49"/>
    <w:rsid w:val="005B35E7"/>
    <w:pPr>
      <w:spacing w:after="0" w:line="240" w:lineRule="auto"/>
    </w:pPr>
    <w:tblPr>
      <w:tblStyleRowBandSize w:val="1"/>
      <w:tblStyleColBandSize w:val="1"/>
      <w:tblBorders>
        <w:top w:val="single" w:sz="4" w:space="0" w:color="B3CFA6" w:themeColor="accent2" w:themeTint="99"/>
        <w:left w:val="single" w:sz="4" w:space="0" w:color="B3CFA6" w:themeColor="accent2" w:themeTint="99"/>
        <w:bottom w:val="single" w:sz="4" w:space="0" w:color="B3CFA6" w:themeColor="accent2" w:themeTint="99"/>
        <w:right w:val="single" w:sz="4" w:space="0" w:color="B3CFA6" w:themeColor="accent2" w:themeTint="99"/>
        <w:insideH w:val="single" w:sz="4" w:space="0" w:color="B3CFA6" w:themeColor="accent2" w:themeTint="99"/>
        <w:insideV w:val="single" w:sz="4" w:space="0" w:color="B3CFA6" w:themeColor="accent2" w:themeTint="99"/>
      </w:tblBorders>
    </w:tblPr>
    <w:tblStylePr w:type="firstRow">
      <w:rPr>
        <w:b/>
        <w:bCs/>
        <w:color w:val="FFFFFF" w:themeColor="background1"/>
      </w:rPr>
      <w:tblPr/>
      <w:tcPr>
        <w:tcBorders>
          <w:top w:val="single" w:sz="4" w:space="0" w:color="82B06B" w:themeColor="accent2"/>
          <w:left w:val="single" w:sz="4" w:space="0" w:color="82B06B" w:themeColor="accent2"/>
          <w:bottom w:val="single" w:sz="4" w:space="0" w:color="82B06B" w:themeColor="accent2"/>
          <w:right w:val="single" w:sz="4" w:space="0" w:color="82B06B" w:themeColor="accent2"/>
          <w:insideH w:val="nil"/>
          <w:insideV w:val="nil"/>
        </w:tcBorders>
        <w:shd w:val="clear" w:color="auto" w:fill="82B06B" w:themeFill="accent2"/>
      </w:tcPr>
    </w:tblStylePr>
    <w:tblStylePr w:type="lastRow">
      <w:rPr>
        <w:b/>
        <w:bCs/>
      </w:rPr>
      <w:tblPr/>
      <w:tcPr>
        <w:tcBorders>
          <w:top w:val="double" w:sz="4" w:space="0" w:color="82B06B" w:themeColor="accent2"/>
        </w:tcBorders>
      </w:tcPr>
    </w:tblStylePr>
    <w:tblStylePr w:type="firstCol">
      <w:rPr>
        <w:b/>
        <w:bCs/>
      </w:rPr>
    </w:tblStylePr>
    <w:tblStylePr w:type="lastCol">
      <w:rPr>
        <w:b/>
        <w:bCs/>
      </w:rPr>
    </w:tblStylePr>
    <w:tblStylePr w:type="band1Vert">
      <w:tblPr/>
      <w:tcPr>
        <w:shd w:val="clear" w:color="auto" w:fill="E5EFE1" w:themeFill="accent2" w:themeFillTint="33"/>
      </w:tcPr>
    </w:tblStylePr>
    <w:tblStylePr w:type="band1Horz">
      <w:tblPr/>
      <w:tcPr>
        <w:shd w:val="clear" w:color="auto" w:fill="E5EFE1" w:themeFill="accent2" w:themeFillTint="33"/>
      </w:tcPr>
    </w:tblStylePr>
  </w:style>
  <w:style w:type="table" w:styleId="GridTable4-Accent3">
    <w:name w:val="Grid Table 4 Accent 3"/>
    <w:basedOn w:val="TableNormal"/>
    <w:uiPriority w:val="49"/>
    <w:rsid w:val="005B35E7"/>
    <w:pPr>
      <w:spacing w:after="0" w:line="240" w:lineRule="auto"/>
    </w:pPr>
    <w:tblPr>
      <w:tblStyleRowBandSize w:val="1"/>
      <w:tblStyleColBandSize w:val="1"/>
      <w:tblBorders>
        <w:top w:val="single" w:sz="4" w:space="0" w:color="FCDBA9" w:themeColor="accent3" w:themeTint="99"/>
        <w:left w:val="single" w:sz="4" w:space="0" w:color="FCDBA9" w:themeColor="accent3" w:themeTint="99"/>
        <w:bottom w:val="single" w:sz="4" w:space="0" w:color="FCDBA9" w:themeColor="accent3" w:themeTint="99"/>
        <w:right w:val="single" w:sz="4" w:space="0" w:color="FCDBA9" w:themeColor="accent3" w:themeTint="99"/>
        <w:insideH w:val="single" w:sz="4" w:space="0" w:color="FCDBA9" w:themeColor="accent3" w:themeTint="99"/>
        <w:insideV w:val="single" w:sz="4" w:space="0" w:color="FCDBA9" w:themeColor="accent3" w:themeTint="99"/>
      </w:tblBorders>
    </w:tblPr>
    <w:tblStylePr w:type="firstRow">
      <w:rPr>
        <w:b/>
        <w:bCs/>
        <w:color w:val="FFFFFF" w:themeColor="background1"/>
      </w:rPr>
      <w:tblPr/>
      <w:tcPr>
        <w:tcBorders>
          <w:top w:val="single" w:sz="4" w:space="0" w:color="FAC470" w:themeColor="accent3"/>
          <w:left w:val="single" w:sz="4" w:space="0" w:color="FAC470" w:themeColor="accent3"/>
          <w:bottom w:val="single" w:sz="4" w:space="0" w:color="FAC470" w:themeColor="accent3"/>
          <w:right w:val="single" w:sz="4" w:space="0" w:color="FAC470" w:themeColor="accent3"/>
          <w:insideH w:val="nil"/>
          <w:insideV w:val="nil"/>
        </w:tcBorders>
        <w:shd w:val="clear" w:color="auto" w:fill="FAC470" w:themeFill="accent3"/>
      </w:tcPr>
    </w:tblStylePr>
    <w:tblStylePr w:type="lastRow">
      <w:rPr>
        <w:b/>
        <w:bCs/>
      </w:rPr>
      <w:tblPr/>
      <w:tcPr>
        <w:tcBorders>
          <w:top w:val="double" w:sz="4" w:space="0" w:color="FAC470" w:themeColor="accent3"/>
        </w:tcBorders>
      </w:tcPr>
    </w:tblStylePr>
    <w:tblStylePr w:type="firstCol">
      <w:rPr>
        <w:b/>
        <w:bCs/>
      </w:rPr>
    </w:tblStylePr>
    <w:tblStylePr w:type="lastCol">
      <w:rPr>
        <w:b/>
        <w:bCs/>
      </w:rPr>
    </w:tblStylePr>
    <w:tblStylePr w:type="band1Vert">
      <w:tblPr/>
      <w:tcPr>
        <w:shd w:val="clear" w:color="auto" w:fill="FEF3E2" w:themeFill="accent3" w:themeFillTint="33"/>
      </w:tcPr>
    </w:tblStylePr>
    <w:tblStylePr w:type="band1Horz">
      <w:tblPr/>
      <w:tcPr>
        <w:shd w:val="clear" w:color="auto" w:fill="FEF3E2" w:themeFill="accent3" w:themeFillTint="33"/>
      </w:tcPr>
    </w:tblStylePr>
  </w:style>
  <w:style w:type="table" w:styleId="GridTable4-Accent4">
    <w:name w:val="Grid Table 4 Accent 4"/>
    <w:basedOn w:val="TableNormal"/>
    <w:uiPriority w:val="49"/>
    <w:rsid w:val="005B35E7"/>
    <w:pPr>
      <w:spacing w:after="0" w:line="240" w:lineRule="auto"/>
    </w:pPr>
    <w:tblPr>
      <w:tblStyleRowBandSize w:val="1"/>
      <w:tblStyleColBandSize w:val="1"/>
      <w:tblBorders>
        <w:top w:val="single" w:sz="4" w:space="0" w:color="77C1CD" w:themeColor="accent4" w:themeTint="99"/>
        <w:left w:val="single" w:sz="4" w:space="0" w:color="77C1CD" w:themeColor="accent4" w:themeTint="99"/>
        <w:bottom w:val="single" w:sz="4" w:space="0" w:color="77C1CD" w:themeColor="accent4" w:themeTint="99"/>
        <w:right w:val="single" w:sz="4" w:space="0" w:color="77C1CD" w:themeColor="accent4" w:themeTint="99"/>
        <w:insideH w:val="single" w:sz="4" w:space="0" w:color="77C1CD" w:themeColor="accent4" w:themeTint="99"/>
        <w:insideV w:val="single" w:sz="4" w:space="0" w:color="77C1CD" w:themeColor="accent4" w:themeTint="99"/>
      </w:tblBorders>
    </w:tblPr>
    <w:tblStylePr w:type="firstRow">
      <w:rPr>
        <w:b/>
        <w:bCs/>
        <w:color w:val="FFFFFF" w:themeColor="background1"/>
      </w:rPr>
      <w:tblPr/>
      <w:tcPr>
        <w:tcBorders>
          <w:top w:val="single" w:sz="4" w:space="0" w:color="368794" w:themeColor="accent4"/>
          <w:left w:val="single" w:sz="4" w:space="0" w:color="368794" w:themeColor="accent4"/>
          <w:bottom w:val="single" w:sz="4" w:space="0" w:color="368794" w:themeColor="accent4"/>
          <w:right w:val="single" w:sz="4" w:space="0" w:color="368794" w:themeColor="accent4"/>
          <w:insideH w:val="nil"/>
          <w:insideV w:val="nil"/>
        </w:tcBorders>
        <w:shd w:val="clear" w:color="auto" w:fill="368794" w:themeFill="accent4"/>
      </w:tcPr>
    </w:tblStylePr>
    <w:tblStylePr w:type="lastRow">
      <w:rPr>
        <w:b/>
        <w:bCs/>
      </w:rPr>
      <w:tblPr/>
      <w:tcPr>
        <w:tcBorders>
          <w:top w:val="double" w:sz="4" w:space="0" w:color="368794" w:themeColor="accent4"/>
        </w:tcBorders>
      </w:tcPr>
    </w:tblStylePr>
    <w:tblStylePr w:type="firstCol">
      <w:rPr>
        <w:b/>
        <w:bCs/>
      </w:rPr>
    </w:tblStylePr>
    <w:tblStylePr w:type="lastCol">
      <w:rPr>
        <w:b/>
        <w:bCs/>
      </w:rPr>
    </w:tblStylePr>
    <w:tblStylePr w:type="band1Vert">
      <w:tblPr/>
      <w:tcPr>
        <w:shd w:val="clear" w:color="auto" w:fill="D1EAEE" w:themeFill="accent4" w:themeFillTint="33"/>
      </w:tcPr>
    </w:tblStylePr>
    <w:tblStylePr w:type="band1Horz">
      <w:tblPr/>
      <w:tcPr>
        <w:shd w:val="clear" w:color="auto" w:fill="D1EAEE" w:themeFill="accent4" w:themeFillTint="33"/>
      </w:tcPr>
    </w:tblStylePr>
  </w:style>
  <w:style w:type="paragraph" w:styleId="Caption">
    <w:name w:val="caption"/>
    <w:basedOn w:val="Normal"/>
    <w:next w:val="Normal"/>
    <w:semiHidden/>
    <w:qFormat/>
    <w:rsid w:val="00894D5A"/>
    <w:pPr>
      <w:spacing w:after="0" w:line="240" w:lineRule="auto"/>
    </w:pPr>
    <w:rPr>
      <w:rFonts w:ascii="Arial" w:eastAsia="Times New Roman" w:hAnsi="Arial" w:cs="Times New Roman"/>
      <w:iCs/>
      <w:sz w:val="15"/>
      <w:szCs w:val="15"/>
      <w:lang w:eastAsia="en-AU"/>
    </w:rPr>
  </w:style>
  <w:style w:type="paragraph" w:styleId="Header">
    <w:name w:val="header"/>
    <w:basedOn w:val="Normal"/>
    <w:link w:val="HeaderChar"/>
    <w:uiPriority w:val="99"/>
    <w:unhideWhenUsed/>
    <w:rsid w:val="001976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6E0"/>
    <w:rPr>
      <w:sz w:val="20"/>
    </w:rPr>
  </w:style>
  <w:style w:type="character" w:styleId="Hyperlink">
    <w:name w:val="Hyperlink"/>
    <w:basedOn w:val="DefaultParagraphFont"/>
    <w:uiPriority w:val="99"/>
    <w:unhideWhenUsed/>
    <w:rsid w:val="00D860A4"/>
    <w:rPr>
      <w:color w:val="61854F" w:themeColor="accent1"/>
      <w:u w:val="single"/>
    </w:rPr>
  </w:style>
  <w:style w:type="character" w:styleId="UnresolvedMention">
    <w:name w:val="Unresolved Mention"/>
    <w:basedOn w:val="DefaultParagraphFont"/>
    <w:uiPriority w:val="99"/>
    <w:semiHidden/>
    <w:unhideWhenUsed/>
    <w:rsid w:val="00D860A4"/>
    <w:rPr>
      <w:color w:val="605E5C"/>
      <w:shd w:val="clear" w:color="auto" w:fill="E1DFDD"/>
    </w:rPr>
  </w:style>
  <w:style w:type="table" w:customStyle="1" w:styleId="GridTable4-Accent61">
    <w:name w:val="Grid Table 4 - Accent 61"/>
    <w:basedOn w:val="TableNormal"/>
    <w:next w:val="GridTable4-Accent6"/>
    <w:uiPriority w:val="49"/>
    <w:rsid w:val="00D97FEA"/>
    <w:pPr>
      <w:spacing w:after="0" w:line="240" w:lineRule="auto"/>
    </w:pPr>
    <w:tblPr>
      <w:tblStyleRowBandSize w:val="1"/>
      <w:tblStyleCol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vAlign w:val="center"/>
    </w:tc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vAlign w:val="center"/>
      </w:tcPr>
    </w:tblStylePr>
    <w:tblStylePr w:type="lastRow">
      <w:rPr>
        <w:b w:val="0"/>
        <w:bCs/>
      </w:rPr>
      <w:tblPr/>
      <w:tcPr>
        <w:tcBorders>
          <w:top w:val="double" w:sz="4" w:space="0" w:color="7F7F7F" w:themeColor="accent6"/>
        </w:tcBorders>
      </w:tcPr>
    </w:tblStylePr>
    <w:tblStylePr w:type="firstCol">
      <w:rPr>
        <w:b w:val="0"/>
        <w:bCs/>
      </w:rPr>
    </w:tblStylePr>
    <w:tblStylePr w:type="lastCol">
      <w:rPr>
        <w:b w:val="0"/>
        <w:bCs/>
      </w:rPr>
    </w:tblStylePr>
    <w:tblStylePr w:type="band1Vert">
      <w:tblPr/>
      <w:tcPr>
        <w:shd w:val="clear" w:color="auto" w:fill="E5E5E5" w:themeFill="accent6" w:themeFillTint="33"/>
      </w:tcPr>
    </w:tblStylePr>
    <w:tblStylePr w:type="band1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il"/>
          <w:tr2bl w:val="nil"/>
        </w:tcBorders>
      </w:tcPr>
    </w:tblStylePr>
    <w:tblStylePr w:type="band2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cBorders>
      </w:tcPr>
    </w:tblStylePr>
  </w:style>
  <w:style w:type="table" w:styleId="TableGridLight">
    <w:name w:val="Grid Table Light"/>
    <w:basedOn w:val="TableNormal"/>
    <w:uiPriority w:val="40"/>
    <w:rsid w:val="00D97F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B25DDE"/>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024DF666F34792B6E6121E45E22857"/>
        <w:category>
          <w:name w:val="General"/>
          <w:gallery w:val="placeholder"/>
        </w:category>
        <w:types>
          <w:type w:val="bbPlcHdr"/>
        </w:types>
        <w:behaviors>
          <w:behavior w:val="content"/>
        </w:behaviors>
        <w:guid w:val="{CE5C2305-90DE-43B3-A6C5-745187972858}"/>
      </w:docPartPr>
      <w:docPartBody>
        <w:p w:rsidR="00E17EE2" w:rsidRDefault="007D5F05" w:rsidP="007D5F05">
          <w:pPr>
            <w:pStyle w:val="04024DF666F34792B6E6121E45E22857"/>
          </w:pPr>
          <w:r w:rsidRPr="00D65C78">
            <w:rPr>
              <w:rStyle w:val="PlaceholderText"/>
            </w:rPr>
            <w:t>Click or tap to enter a date.</w:t>
          </w:r>
        </w:p>
      </w:docPartBody>
    </w:docPart>
    <w:docPart>
      <w:docPartPr>
        <w:name w:val="760CECCA096D490A880790A2019FC004"/>
        <w:category>
          <w:name w:val="General"/>
          <w:gallery w:val="placeholder"/>
        </w:category>
        <w:types>
          <w:type w:val="bbPlcHdr"/>
        </w:types>
        <w:behaviors>
          <w:behavior w:val="content"/>
        </w:behaviors>
        <w:guid w:val="{13D67667-D5C2-488B-AB50-2A8FA06CB6A9}"/>
      </w:docPartPr>
      <w:docPartBody>
        <w:p w:rsidR="00E17EE2" w:rsidRDefault="007D5F05" w:rsidP="007D5F05">
          <w:pPr>
            <w:pStyle w:val="760CECCA096D490A880790A2019FC004"/>
          </w:pPr>
          <w:r w:rsidRPr="00C036E3">
            <w:rPr>
              <w:rStyle w:val="PlaceholderText"/>
            </w:rPr>
            <w:t>Choose an item.</w:t>
          </w:r>
        </w:p>
      </w:docPartBody>
    </w:docPart>
    <w:docPart>
      <w:docPartPr>
        <w:name w:val="176E077064B749EB82D370C814BDD69D"/>
        <w:category>
          <w:name w:val="General"/>
          <w:gallery w:val="placeholder"/>
        </w:category>
        <w:types>
          <w:type w:val="bbPlcHdr"/>
        </w:types>
        <w:behaviors>
          <w:behavior w:val="content"/>
        </w:behaviors>
        <w:guid w:val="{22325C54-245D-40A6-BA40-1313761D4731}"/>
      </w:docPartPr>
      <w:docPartBody>
        <w:p w:rsidR="00E17EE2" w:rsidRDefault="007D5F05" w:rsidP="007D5F05">
          <w:pPr>
            <w:pStyle w:val="176E077064B749EB82D370C814BDD69D"/>
          </w:pPr>
          <w:r w:rsidRPr="00C036E3">
            <w:rPr>
              <w:rStyle w:val="PlaceholderText"/>
            </w:rPr>
            <w:t>Choose an item.</w:t>
          </w:r>
        </w:p>
      </w:docPartBody>
    </w:docPart>
    <w:docPart>
      <w:docPartPr>
        <w:name w:val="B6248C8A0D5B43018C88F5EE309F94AF"/>
        <w:category>
          <w:name w:val="General"/>
          <w:gallery w:val="placeholder"/>
        </w:category>
        <w:types>
          <w:type w:val="bbPlcHdr"/>
        </w:types>
        <w:behaviors>
          <w:behavior w:val="content"/>
        </w:behaviors>
        <w:guid w:val="{6EBC426B-91A4-477B-9330-47B0730C4ACD}"/>
      </w:docPartPr>
      <w:docPartBody>
        <w:p w:rsidR="00E17EE2" w:rsidRDefault="007D5F05" w:rsidP="007D5F05">
          <w:pPr>
            <w:pStyle w:val="B6248C8A0D5B43018C88F5EE309F94AF"/>
          </w:pPr>
          <w:r w:rsidRPr="00C036E3">
            <w:rPr>
              <w:rStyle w:val="PlaceholderText"/>
            </w:rPr>
            <w:t>Choose an item.</w:t>
          </w:r>
        </w:p>
      </w:docPartBody>
    </w:docPart>
    <w:docPart>
      <w:docPartPr>
        <w:name w:val="BC0EEDC90BB1436BB93B7C9388DA17BF"/>
        <w:category>
          <w:name w:val="General"/>
          <w:gallery w:val="placeholder"/>
        </w:category>
        <w:types>
          <w:type w:val="bbPlcHdr"/>
        </w:types>
        <w:behaviors>
          <w:behavior w:val="content"/>
        </w:behaviors>
        <w:guid w:val="{9412684F-0F8D-4140-BB1A-CF9BBE2F932A}"/>
      </w:docPartPr>
      <w:docPartBody>
        <w:p w:rsidR="00E17EE2" w:rsidRDefault="007D5F05" w:rsidP="007D5F05">
          <w:pPr>
            <w:pStyle w:val="BC0EEDC90BB1436BB93B7C9388DA17BF"/>
          </w:pPr>
          <w:r w:rsidRPr="00C036E3">
            <w:rPr>
              <w:rStyle w:val="PlaceholderText"/>
            </w:rPr>
            <w:t>Choose an item.</w:t>
          </w:r>
        </w:p>
      </w:docPartBody>
    </w:docPart>
    <w:docPart>
      <w:docPartPr>
        <w:name w:val="5ADB61D8F9CF4A5FB81CAC66DC3F037F"/>
        <w:category>
          <w:name w:val="General"/>
          <w:gallery w:val="placeholder"/>
        </w:category>
        <w:types>
          <w:type w:val="bbPlcHdr"/>
        </w:types>
        <w:behaviors>
          <w:behavior w:val="content"/>
        </w:behaviors>
        <w:guid w:val="{38A90519-17E5-4A83-BBFA-B92E0E72BDAC}"/>
      </w:docPartPr>
      <w:docPartBody>
        <w:p w:rsidR="00E17EE2" w:rsidRDefault="007D5F05" w:rsidP="007D5F05">
          <w:pPr>
            <w:pStyle w:val="5ADB61D8F9CF4A5FB81CAC66DC3F037F"/>
          </w:pPr>
          <w:r w:rsidRPr="00C036E3">
            <w:rPr>
              <w:rStyle w:val="PlaceholderText"/>
            </w:rPr>
            <w:t>Choose an item.</w:t>
          </w:r>
        </w:p>
      </w:docPartBody>
    </w:docPart>
    <w:docPart>
      <w:docPartPr>
        <w:name w:val="AB77017AC9A3430B832ACF112BAE7F04"/>
        <w:category>
          <w:name w:val="General"/>
          <w:gallery w:val="placeholder"/>
        </w:category>
        <w:types>
          <w:type w:val="bbPlcHdr"/>
        </w:types>
        <w:behaviors>
          <w:behavior w:val="content"/>
        </w:behaviors>
        <w:guid w:val="{B8B90003-2DDC-43B7-BE09-0B5008B25556}"/>
      </w:docPartPr>
      <w:docPartBody>
        <w:p w:rsidR="00E17EE2" w:rsidRDefault="007D5F05" w:rsidP="007D5F05">
          <w:pPr>
            <w:pStyle w:val="AB77017AC9A3430B832ACF112BAE7F04"/>
          </w:pPr>
          <w:r w:rsidRPr="00C036E3">
            <w:rPr>
              <w:rStyle w:val="PlaceholderText"/>
            </w:rPr>
            <w:t>Choose an item.</w:t>
          </w:r>
        </w:p>
      </w:docPartBody>
    </w:docPart>
    <w:docPart>
      <w:docPartPr>
        <w:name w:val="7B48427B856F453BBB056F6DB104C98B"/>
        <w:category>
          <w:name w:val="General"/>
          <w:gallery w:val="placeholder"/>
        </w:category>
        <w:types>
          <w:type w:val="bbPlcHdr"/>
        </w:types>
        <w:behaviors>
          <w:behavior w:val="content"/>
        </w:behaviors>
        <w:guid w:val="{A7211C67-365A-4301-A384-D22EF1FE398E}"/>
      </w:docPartPr>
      <w:docPartBody>
        <w:p w:rsidR="00E17EE2" w:rsidRDefault="007D5F05" w:rsidP="007D5F05">
          <w:pPr>
            <w:pStyle w:val="7B48427B856F453BBB056F6DB104C98B"/>
          </w:pPr>
          <w:r w:rsidRPr="00C036E3">
            <w:rPr>
              <w:rStyle w:val="PlaceholderText"/>
            </w:rPr>
            <w:t>Choose an item.</w:t>
          </w:r>
        </w:p>
      </w:docPartBody>
    </w:docPart>
    <w:docPart>
      <w:docPartPr>
        <w:name w:val="E45EA76F19CF44C9BD4AFE21BB7FB319"/>
        <w:category>
          <w:name w:val="General"/>
          <w:gallery w:val="placeholder"/>
        </w:category>
        <w:types>
          <w:type w:val="bbPlcHdr"/>
        </w:types>
        <w:behaviors>
          <w:behavior w:val="content"/>
        </w:behaviors>
        <w:guid w:val="{4BB6A3B8-5B62-4E40-B057-4F928E3B1330}"/>
      </w:docPartPr>
      <w:docPartBody>
        <w:p w:rsidR="00E17EE2" w:rsidRDefault="007D5F05" w:rsidP="007D5F05">
          <w:pPr>
            <w:pStyle w:val="E45EA76F19CF44C9BD4AFE21BB7FB319"/>
          </w:pPr>
          <w:r w:rsidRPr="00390590">
            <w:rPr>
              <w:rStyle w:val="PlaceholderText"/>
              <w:rFonts w:asciiTheme="majorHAnsi" w:hAnsiTheme="majorHAnsi" w:cstheme="majorHAnsi"/>
            </w:rPr>
            <w:t>Choose an item.</w:t>
          </w:r>
        </w:p>
      </w:docPartBody>
    </w:docPart>
    <w:docPart>
      <w:docPartPr>
        <w:name w:val="EB7122B78589419FB73B50A184BA2CB1"/>
        <w:category>
          <w:name w:val="General"/>
          <w:gallery w:val="placeholder"/>
        </w:category>
        <w:types>
          <w:type w:val="bbPlcHdr"/>
        </w:types>
        <w:behaviors>
          <w:behavior w:val="content"/>
        </w:behaviors>
        <w:guid w:val="{FFF317B9-BA35-41FF-BB07-CD406C1424FF}"/>
      </w:docPartPr>
      <w:docPartBody>
        <w:p w:rsidR="00E17EE2" w:rsidRDefault="007D5F05" w:rsidP="007D5F05">
          <w:pPr>
            <w:pStyle w:val="EB7122B78589419FB73B50A184BA2CB1"/>
          </w:pPr>
          <w:r w:rsidRPr="00FB040E">
            <w:rPr>
              <w:rStyle w:val="PlaceholderText"/>
            </w:rPr>
            <w:t>Click or tap here to enter text.</w:t>
          </w:r>
        </w:p>
      </w:docPartBody>
    </w:docPart>
    <w:docPart>
      <w:docPartPr>
        <w:name w:val="CF9729AC184E43E8B74BB521B66A7D22"/>
        <w:category>
          <w:name w:val="General"/>
          <w:gallery w:val="placeholder"/>
        </w:category>
        <w:types>
          <w:type w:val="bbPlcHdr"/>
        </w:types>
        <w:behaviors>
          <w:behavior w:val="content"/>
        </w:behaviors>
        <w:guid w:val="{E70B5267-4D3D-4F10-A5A7-6C9A3BC11B1E}"/>
      </w:docPartPr>
      <w:docPartBody>
        <w:p w:rsidR="00E17EE2" w:rsidRDefault="007D5F05" w:rsidP="007D5F05">
          <w:pPr>
            <w:pStyle w:val="CF9729AC184E43E8B74BB521B66A7D22"/>
          </w:pPr>
          <w:r w:rsidRPr="00C036E3">
            <w:rPr>
              <w:rStyle w:val="PlaceholderText"/>
            </w:rPr>
            <w:t>Choose an item.</w:t>
          </w:r>
        </w:p>
      </w:docPartBody>
    </w:docPart>
    <w:docPart>
      <w:docPartPr>
        <w:name w:val="D3D06CBA1CD848C4921638209B62A34E"/>
        <w:category>
          <w:name w:val="General"/>
          <w:gallery w:val="placeholder"/>
        </w:category>
        <w:types>
          <w:type w:val="bbPlcHdr"/>
        </w:types>
        <w:behaviors>
          <w:behavior w:val="content"/>
        </w:behaviors>
        <w:guid w:val="{389F9E93-6ED4-432F-875F-08BF9C6E6D1B}"/>
      </w:docPartPr>
      <w:docPartBody>
        <w:p w:rsidR="00E17EE2" w:rsidRDefault="007D5F05" w:rsidP="007D5F05">
          <w:pPr>
            <w:pStyle w:val="D3D06CBA1CD848C4921638209B62A34E"/>
          </w:pPr>
          <w:r w:rsidRPr="00C036E3">
            <w:rPr>
              <w:rStyle w:val="PlaceholderText"/>
            </w:rPr>
            <w:t>Choose an item.</w:t>
          </w:r>
        </w:p>
      </w:docPartBody>
    </w:docPart>
    <w:docPart>
      <w:docPartPr>
        <w:name w:val="BB42D9430F4948DEBC028998FF855630"/>
        <w:category>
          <w:name w:val="General"/>
          <w:gallery w:val="placeholder"/>
        </w:category>
        <w:types>
          <w:type w:val="bbPlcHdr"/>
        </w:types>
        <w:behaviors>
          <w:behavior w:val="content"/>
        </w:behaviors>
        <w:guid w:val="{4A2E20C7-BA5F-43D7-9829-135E495D3BBC}"/>
      </w:docPartPr>
      <w:docPartBody>
        <w:p w:rsidR="00E17EE2" w:rsidRDefault="007D5F05" w:rsidP="007D5F05">
          <w:pPr>
            <w:pStyle w:val="BB42D9430F4948DEBC028998FF855630"/>
          </w:pPr>
          <w:r w:rsidRPr="00C036E3">
            <w:rPr>
              <w:rStyle w:val="PlaceholderText"/>
            </w:rPr>
            <w:t>Choose an item.</w:t>
          </w:r>
        </w:p>
      </w:docPartBody>
    </w:docPart>
    <w:docPart>
      <w:docPartPr>
        <w:name w:val="71734E0F601747D8B4F7DA6BDD3181F7"/>
        <w:category>
          <w:name w:val="General"/>
          <w:gallery w:val="placeholder"/>
        </w:category>
        <w:types>
          <w:type w:val="bbPlcHdr"/>
        </w:types>
        <w:behaviors>
          <w:behavior w:val="content"/>
        </w:behaviors>
        <w:guid w:val="{1B5D10C7-4559-458F-A33D-1C30B9965CDB}"/>
      </w:docPartPr>
      <w:docPartBody>
        <w:p w:rsidR="00E17EE2" w:rsidRDefault="007D5F05" w:rsidP="007D5F05">
          <w:pPr>
            <w:pStyle w:val="71734E0F601747D8B4F7DA6BDD3181F7"/>
          </w:pPr>
          <w:r w:rsidRPr="00C036E3">
            <w:rPr>
              <w:rStyle w:val="PlaceholderText"/>
            </w:rPr>
            <w:t>Choose an item.</w:t>
          </w:r>
        </w:p>
      </w:docPartBody>
    </w:docPart>
    <w:docPart>
      <w:docPartPr>
        <w:name w:val="A0B8DA403D8A46C78B5BB340C8FACE93"/>
        <w:category>
          <w:name w:val="General"/>
          <w:gallery w:val="placeholder"/>
        </w:category>
        <w:types>
          <w:type w:val="bbPlcHdr"/>
        </w:types>
        <w:behaviors>
          <w:behavior w:val="content"/>
        </w:behaviors>
        <w:guid w:val="{437D4B1D-4AF6-408E-B2EA-364AE204A584}"/>
      </w:docPartPr>
      <w:docPartBody>
        <w:p w:rsidR="005E1EBA" w:rsidRDefault="00227AEC" w:rsidP="00227AEC">
          <w:pPr>
            <w:pStyle w:val="A0B8DA403D8A46C78B5BB340C8FACE93"/>
          </w:pPr>
          <w:r w:rsidRPr="00FB040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F05"/>
    <w:rsid w:val="001D0A4A"/>
    <w:rsid w:val="00227AEC"/>
    <w:rsid w:val="005A4030"/>
    <w:rsid w:val="005E1EBA"/>
    <w:rsid w:val="007D5F05"/>
    <w:rsid w:val="00C65923"/>
    <w:rsid w:val="00E17E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7AEC"/>
    <w:rPr>
      <w:color w:val="808080"/>
    </w:rPr>
  </w:style>
  <w:style w:type="paragraph" w:customStyle="1" w:styleId="04024DF666F34792B6E6121E45E22857">
    <w:name w:val="04024DF666F34792B6E6121E45E22857"/>
    <w:rsid w:val="007D5F05"/>
  </w:style>
  <w:style w:type="paragraph" w:customStyle="1" w:styleId="760CECCA096D490A880790A2019FC004">
    <w:name w:val="760CECCA096D490A880790A2019FC004"/>
    <w:rsid w:val="007D5F05"/>
  </w:style>
  <w:style w:type="paragraph" w:customStyle="1" w:styleId="176E077064B749EB82D370C814BDD69D">
    <w:name w:val="176E077064B749EB82D370C814BDD69D"/>
    <w:rsid w:val="007D5F05"/>
  </w:style>
  <w:style w:type="paragraph" w:customStyle="1" w:styleId="B6248C8A0D5B43018C88F5EE309F94AF">
    <w:name w:val="B6248C8A0D5B43018C88F5EE309F94AF"/>
    <w:rsid w:val="007D5F05"/>
  </w:style>
  <w:style w:type="paragraph" w:customStyle="1" w:styleId="BC0EEDC90BB1436BB93B7C9388DA17BF">
    <w:name w:val="BC0EEDC90BB1436BB93B7C9388DA17BF"/>
    <w:rsid w:val="007D5F05"/>
  </w:style>
  <w:style w:type="paragraph" w:customStyle="1" w:styleId="5ADB61D8F9CF4A5FB81CAC66DC3F037F">
    <w:name w:val="5ADB61D8F9CF4A5FB81CAC66DC3F037F"/>
    <w:rsid w:val="007D5F05"/>
  </w:style>
  <w:style w:type="paragraph" w:customStyle="1" w:styleId="AB77017AC9A3430B832ACF112BAE7F04">
    <w:name w:val="AB77017AC9A3430B832ACF112BAE7F04"/>
    <w:rsid w:val="007D5F05"/>
  </w:style>
  <w:style w:type="paragraph" w:customStyle="1" w:styleId="7B48427B856F453BBB056F6DB104C98B">
    <w:name w:val="7B48427B856F453BBB056F6DB104C98B"/>
    <w:rsid w:val="007D5F05"/>
  </w:style>
  <w:style w:type="paragraph" w:customStyle="1" w:styleId="E45EA76F19CF44C9BD4AFE21BB7FB319">
    <w:name w:val="E45EA76F19CF44C9BD4AFE21BB7FB319"/>
    <w:rsid w:val="007D5F05"/>
  </w:style>
  <w:style w:type="paragraph" w:customStyle="1" w:styleId="EB7122B78589419FB73B50A184BA2CB1">
    <w:name w:val="EB7122B78589419FB73B50A184BA2CB1"/>
    <w:rsid w:val="007D5F05"/>
  </w:style>
  <w:style w:type="paragraph" w:customStyle="1" w:styleId="CF9729AC184E43E8B74BB521B66A7D22">
    <w:name w:val="CF9729AC184E43E8B74BB521B66A7D22"/>
    <w:rsid w:val="007D5F05"/>
  </w:style>
  <w:style w:type="paragraph" w:customStyle="1" w:styleId="D3D06CBA1CD848C4921638209B62A34E">
    <w:name w:val="D3D06CBA1CD848C4921638209B62A34E"/>
    <w:rsid w:val="007D5F05"/>
  </w:style>
  <w:style w:type="paragraph" w:customStyle="1" w:styleId="BB42D9430F4948DEBC028998FF855630">
    <w:name w:val="BB42D9430F4948DEBC028998FF855630"/>
    <w:rsid w:val="007D5F05"/>
  </w:style>
  <w:style w:type="paragraph" w:customStyle="1" w:styleId="71734E0F601747D8B4F7DA6BDD3181F7">
    <w:name w:val="71734E0F601747D8B4F7DA6BDD3181F7"/>
    <w:rsid w:val="007D5F05"/>
  </w:style>
  <w:style w:type="paragraph" w:customStyle="1" w:styleId="A0B8DA403D8A46C78B5BB340C8FACE93">
    <w:name w:val="A0B8DA403D8A46C78B5BB340C8FACE93"/>
    <w:rsid w:val="00227A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Rainforest to the Reef">
      <a:dk1>
        <a:sysClr val="windowText" lastClr="000000"/>
      </a:dk1>
      <a:lt1>
        <a:sysClr val="window" lastClr="FFFFFF"/>
      </a:lt1>
      <a:dk2>
        <a:srgbClr val="368794"/>
      </a:dk2>
      <a:lt2>
        <a:srgbClr val="FEF3E2"/>
      </a:lt2>
      <a:accent1>
        <a:srgbClr val="61854F"/>
      </a:accent1>
      <a:accent2>
        <a:srgbClr val="82B06B"/>
      </a:accent2>
      <a:accent3>
        <a:srgbClr val="FAC470"/>
      </a:accent3>
      <a:accent4>
        <a:srgbClr val="368794"/>
      </a:accent4>
      <a:accent5>
        <a:srgbClr val="4BACC6"/>
      </a:accent5>
      <a:accent6>
        <a:srgbClr val="7F7F7F"/>
      </a:accent6>
      <a:hlink>
        <a:srgbClr val="FAC470"/>
      </a:hlink>
      <a:folHlink>
        <a:srgbClr val="E8637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A80CF-EF3E-4353-B7D6-46E4560C6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 Schreiweis</dc:creator>
  <cp:keywords/>
  <dc:description/>
  <cp:lastModifiedBy>Jannine Giddins</cp:lastModifiedBy>
  <cp:revision>3</cp:revision>
  <cp:lastPrinted>2021-01-06T01:19:00Z</cp:lastPrinted>
  <dcterms:created xsi:type="dcterms:W3CDTF">2023-07-12T02:03:00Z</dcterms:created>
  <dcterms:modified xsi:type="dcterms:W3CDTF">2023-10-05T03:01:00Z</dcterms:modified>
</cp:coreProperties>
</file>