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NZ legislation corpus workflow pack</w:t>
      </w:r>
    </w:p>
    <w:p>
      <w:pPr>
        <w:jc w:val="center"/>
      </w:pPr>
      <w:r>
        <w:rPr>
          <w:i/>
          <w:sz w:val="22"/>
        </w:rPr>
        <w:t>Operating model for five election-facing health policy studies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EF2FF"/>
            <w:vAlign w:val="center"/>
          </w:tcPr>
          <w:p>
            <w:r>
              <w:rPr>
                <w:b/>
                <w:color w:val="374151"/>
                <w:sz w:val="18"/>
              </w:rPr>
              <w:t>Focus</w:t>
              <w:br/>
            </w:r>
            <w:r>
              <w:rPr>
                <w:sz w:val="19"/>
              </w:rPr>
              <w:t>Workflow and delivery design</w:t>
            </w:r>
          </w:p>
        </w:tc>
        <w:tc>
          <w:tcPr>
            <w:tcW w:type="dxa" w:w="3312"/>
            <w:shd w:fill="EEF2FF"/>
            <w:vAlign w:val="center"/>
          </w:tcPr>
          <w:p>
            <w:r>
              <w:rPr>
                <w:b/>
                <w:color w:val="374151"/>
                <w:sz w:val="18"/>
              </w:rPr>
              <w:t>Target</w:t>
              <w:br/>
            </w:r>
            <w:r>
              <w:rPr>
                <w:sz w:val="19"/>
              </w:rPr>
              <w:t>NZMJ-suitable 2026 studies</w:t>
            </w:r>
          </w:p>
        </w:tc>
        <w:tc>
          <w:tcPr>
            <w:tcW w:type="dxa" w:w="3312"/>
            <w:shd w:fill="EEF2FF"/>
            <w:vAlign w:val="center"/>
          </w:tcPr>
          <w:p>
            <w:r>
              <w:rPr>
                <w:b/>
                <w:color w:val="374151"/>
                <w:sz w:val="18"/>
              </w:rPr>
              <w:t>Assets</w:t>
              <w:br/>
            </w:r>
            <w:r>
              <w:rPr>
                <w:sz w:val="19"/>
              </w:rPr>
              <w:t>Markdown, docx, code, images, import pack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6195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9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Recommended operating sequence for the NZ legislation corpus programme.</w:t>
      </w:r>
    </w:p>
    <w:p>
      <w:pPr>
        <w:pStyle w:val="Heading1"/>
      </w:pPr>
      <w:r>
        <w:t>How the workflow should operate</w:t>
      </w:r>
    </w:p>
    <w:p>
      <w:r>
        <w:t xml:space="preserve">The programme works best as one coordinated operating system. </w:t>
      </w:r>
      <w:r>
        <w:rPr>
          <w:b/>
        </w:rPr>
        <w:t>Figma</w:t>
      </w:r>
      <w:r>
        <w:t xml:space="preserve"> holds the visual map, </w:t>
      </w:r>
      <w:r>
        <w:rPr>
          <w:b/>
        </w:rPr>
        <w:t>Notion</w:t>
      </w:r>
      <w:r>
        <w:t xml:space="preserve"> holds the knowledge base, </w:t>
      </w:r>
      <w:r>
        <w:rPr>
          <w:b/>
        </w:rPr>
        <w:t>Linear</w:t>
      </w:r>
      <w:r>
        <w:t xml:space="preserve"> holds execution, and the </w:t>
      </w:r>
      <w:r>
        <w:rPr>
          <w:b/>
        </w:rPr>
        <w:t>code repository</w:t>
      </w:r>
      <w:r>
        <w:t xml:space="preserve"> holds the reproducible corpus and analysis pipeline.</w:t>
      </w:r>
    </w:p>
    <w:p>
      <w:pPr>
        <w:pStyle w:val="Heading2"/>
      </w:pPr>
      <w:r>
        <w:t>Role of each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BEAFE"/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3312"/>
            <w:shd w:fill="DBEAFE"/>
          </w:tcPr>
          <w:p>
            <w:r>
              <w:rPr>
                <w:b/>
              </w:rPr>
              <w:t>Primary role</w:t>
            </w:r>
          </w:p>
        </w:tc>
        <w:tc>
          <w:tcPr>
            <w:tcW w:type="dxa" w:w="3312"/>
            <w:shd w:fill="DBEAFE"/>
          </w:tcPr>
          <w:p>
            <w:r>
              <w:rPr>
                <w:b/>
              </w:rPr>
              <w:t>What belongs there</w:t>
            </w:r>
          </w:p>
        </w:tc>
      </w:tr>
      <w:tr>
        <w:tc>
          <w:tcPr>
            <w:tcW w:type="dxa" w:w="3312"/>
            <w:vAlign w:val="center"/>
          </w:tcPr>
          <w:p>
            <w:r>
              <w:t>Figma</w:t>
            </w:r>
          </w:p>
        </w:tc>
        <w:tc>
          <w:tcPr>
            <w:tcW w:type="dxa" w:w="3312"/>
            <w:vAlign w:val="center"/>
          </w:tcPr>
          <w:p>
            <w:r>
              <w:t>Visual coordination</w:t>
            </w:r>
          </w:p>
        </w:tc>
        <w:tc>
          <w:tcPr>
            <w:tcW w:type="dxa" w:w="3312"/>
            <w:vAlign w:val="center"/>
          </w:tcPr>
          <w:p>
            <w:r>
              <w:t>Workflow map, sequencing, publication pathway, figure concepts</w:t>
            </w:r>
          </w:p>
        </w:tc>
      </w:tr>
      <w:tr>
        <w:tc>
          <w:tcPr>
            <w:tcW w:type="dxa" w:w="3312"/>
            <w:vAlign w:val="center"/>
          </w:tcPr>
          <w:p>
            <w:r>
              <w:t>Notion</w:t>
            </w:r>
          </w:p>
        </w:tc>
        <w:tc>
          <w:tcPr>
            <w:tcW w:type="dxa" w:w="3312"/>
            <w:vAlign w:val="center"/>
          </w:tcPr>
          <w:p>
            <w:r>
              <w:t>Knowledge system</w:t>
            </w:r>
          </w:p>
        </w:tc>
        <w:tc>
          <w:tcPr>
            <w:tcW w:type="dxa" w:w="3312"/>
            <w:vAlign w:val="center"/>
          </w:tcPr>
          <w:p>
            <w:r>
              <w:t>Protocols, definitions, decisions, corpus notes, manuscript plans</w:t>
            </w:r>
          </w:p>
        </w:tc>
      </w:tr>
      <w:tr>
        <w:tc>
          <w:tcPr>
            <w:tcW w:type="dxa" w:w="3312"/>
            <w:vAlign w:val="center"/>
          </w:tcPr>
          <w:p>
            <w:r>
              <w:t>Linear</w:t>
            </w:r>
          </w:p>
        </w:tc>
        <w:tc>
          <w:tcPr>
            <w:tcW w:type="dxa" w:w="3312"/>
            <w:vAlign w:val="center"/>
          </w:tcPr>
          <w:p>
            <w:r>
              <w:t>Delivery system</w:t>
            </w:r>
          </w:p>
        </w:tc>
        <w:tc>
          <w:tcPr>
            <w:tcW w:type="dxa" w:w="3312"/>
            <w:vAlign w:val="center"/>
          </w:tcPr>
          <w:p>
            <w:r>
              <w:t>Initiative, epics, issues, dependencies, milestones, weekly work</w:t>
            </w:r>
          </w:p>
        </w:tc>
      </w:tr>
      <w:tr>
        <w:tc>
          <w:tcPr>
            <w:tcW w:type="dxa" w:w="3312"/>
            <w:vAlign w:val="center"/>
          </w:tcPr>
          <w:p>
            <w:r>
              <w:t>Code repo</w:t>
            </w:r>
          </w:p>
        </w:tc>
        <w:tc>
          <w:tcPr>
            <w:tcW w:type="dxa" w:w="3312"/>
            <w:vAlign w:val="center"/>
          </w:tcPr>
          <w:p>
            <w:r>
              <w:t>Reproducibility</w:t>
            </w:r>
          </w:p>
        </w:tc>
        <w:tc>
          <w:tcPr>
            <w:tcW w:type="dxa" w:w="3312"/>
            <w:vAlign w:val="center"/>
          </w:tcPr>
          <w:p>
            <w:r>
              <w:t>API queries, corpus scripts, codebooks, tables, figures, supplements</w:t>
            </w:r>
          </w:p>
        </w:tc>
      </w:tr>
    </w:tbl>
    <w:p>
      <w:pPr>
        <w:pStyle w:val="Heading2"/>
      </w:pPr>
      <w:r>
        <w:t>Practical sequence</w:t>
      </w:r>
    </w:p>
    <w:p>
      <w:pPr>
        <w:pStyle w:val="ListBullet"/>
      </w:pPr>
      <w:r>
        <w:rPr>
          <w:b/>
        </w:rPr>
        <w:t xml:space="preserve">Stand up the operating system: </w:t>
      </w:r>
      <w:r>
        <w:t>Create the programme hub, issue backlog, workflow board, and shared corpus specification.</w:t>
      </w:r>
    </w:p>
    <w:p>
      <w:pPr>
        <w:pStyle w:val="ListBullet"/>
      </w:pPr>
      <w:r>
        <w:rPr>
          <w:b/>
        </w:rPr>
        <w:t xml:space="preserve">Do the lead paper first: </w:t>
      </w:r>
      <w:r>
        <w:t>Lead with policy whiplash and instability because it is the most election-relevant and the easiest to frame for NZMJ.</w:t>
      </w:r>
    </w:p>
    <w:p>
      <w:pPr>
        <w:pStyle w:val="ListBullet"/>
      </w:pPr>
      <w:r>
        <w:rPr>
          <w:b/>
        </w:rPr>
        <w:t xml:space="preserve">Reuse the backbone: </w:t>
      </w:r>
      <w:r>
        <w:t>Move next to accountability drift, governance load, rights versus coercion, and then Māori governance and equity.</w:t>
      </w:r>
    </w:p>
    <w:p>
      <w:pPr>
        <w:pStyle w:val="Heading2"/>
      </w:pPr>
      <w:r>
        <w:t>Weekly 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0F2FE"/>
          </w:tcPr>
          <w:p>
            <w:r>
              <w:rPr>
                <w:b/>
              </w:rPr>
              <w:t>Point in week</w:t>
            </w:r>
          </w:p>
        </w:tc>
        <w:tc>
          <w:tcPr>
            <w:tcW w:type="dxa" w:w="3312"/>
            <w:shd w:fill="E0F2FE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312"/>
            <w:shd w:fill="E0F2FE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</w:tcPr>
          <w:p>
            <w:r>
              <w:t>Monday</w:t>
            </w:r>
          </w:p>
        </w:tc>
        <w:tc>
          <w:tcPr>
            <w:tcW w:type="dxa" w:w="3312"/>
          </w:tcPr>
          <w:p>
            <w:r>
              <w:t>Choose the single analysis question</w:t>
            </w:r>
          </w:p>
        </w:tc>
        <w:tc>
          <w:tcPr>
            <w:tcW w:type="dxa" w:w="3312"/>
          </w:tcPr>
          <w:p>
            <w:r>
              <w:t>Confirmed issue chain in Linear</w:t>
            </w:r>
          </w:p>
        </w:tc>
      </w:tr>
      <w:tr>
        <w:tc>
          <w:tcPr>
            <w:tcW w:type="dxa" w:w="3312"/>
          </w:tcPr>
          <w:p>
            <w:r>
              <w:t>Mid-week</w:t>
            </w:r>
          </w:p>
        </w:tc>
        <w:tc>
          <w:tcPr>
            <w:tcW w:type="dxa" w:w="3312"/>
          </w:tcPr>
          <w:p>
            <w:r>
              <w:t>Update corpus and test coding</w:t>
            </w:r>
          </w:p>
        </w:tc>
        <w:tc>
          <w:tcPr>
            <w:tcW w:type="dxa" w:w="3312"/>
          </w:tcPr>
          <w:p>
            <w:r>
              <w:t>One table or figure draft</w:t>
            </w:r>
          </w:p>
        </w:tc>
      </w:tr>
      <w:tr>
        <w:tc>
          <w:tcPr>
            <w:tcW w:type="dxa" w:w="3312"/>
          </w:tcPr>
          <w:p>
            <w:r>
              <w:t>Friday</w:t>
            </w:r>
          </w:p>
        </w:tc>
        <w:tc>
          <w:tcPr>
            <w:tcW w:type="dxa" w:w="3312"/>
          </w:tcPr>
          <w:p>
            <w:r>
              <w:t>Write and record decisions</w:t>
            </w:r>
          </w:p>
        </w:tc>
        <w:tc>
          <w:tcPr>
            <w:tcW w:type="dxa" w:w="3312"/>
          </w:tcPr>
          <w:p>
            <w:r>
              <w:t>One manuscript section plus updated notes</w:t>
            </w:r>
          </w:p>
        </w:tc>
      </w:tr>
    </w:tbl>
    <w:p>
      <w:pPr>
        <w:pStyle w:val="Heading2"/>
      </w:pPr>
      <w:r>
        <w:t>Protocol sequence</w:t>
      </w:r>
    </w:p>
    <w:p>
      <w:pPr>
        <w:pStyle w:val="ListNumber"/>
      </w:pPr>
      <w:r>
        <w:t>Policy whiplash and legislative instability</w:t>
      </w:r>
    </w:p>
    <w:p>
      <w:pPr>
        <w:pStyle w:val="ListNumber"/>
      </w:pPr>
      <w:r>
        <w:t>Responsibility and accountability drift</w:t>
      </w:r>
    </w:p>
    <w:p>
      <w:pPr>
        <w:pStyle w:val="ListNumber"/>
      </w:pPr>
      <w:r>
        <w:t>Governance load and administrative burden</w:t>
      </w:r>
    </w:p>
    <w:p>
      <w:pPr>
        <w:pStyle w:val="ListNumber"/>
      </w:pPr>
      <w:r>
        <w:t>Rights language versus coercive powers</w:t>
      </w:r>
    </w:p>
    <w:p>
      <w:pPr>
        <w:pStyle w:val="ListNumber"/>
      </w:pPr>
      <w:r>
        <w:t>Māori governance and equity language</w:t>
      </w:r>
    </w:p>
    <w:p>
      <w:pPr>
        <w:pStyle w:val="Heading1"/>
      </w:pPr>
      <w:r>
        <w:t>Figma and package notes</w:t>
      </w:r>
    </w:p>
    <w:p>
      <w:r>
        <w:t xml:space="preserve">Open the live FigJam workflow board: </w:t>
      </w:r>
      <w:hyperlink r:id="rId10">
        <w:r>
          <w:rPr>
            <w:color w:val="2563EB"/>
            <w:u w:val="single"/>
          </w:rPr>
          <w:t>NZ legislation corpus workflow</w:t>
        </w:r>
      </w:hyperlink>
    </w:p>
    <w:p>
      <w:r>
        <w:t>This environment did not expose a writable Notion connector. The package therefore includes a Notion-import-ready markdown folder rather than a direct write into your workspace.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b/>
              </w:rPr>
              <w:t>Included in the zip</w:t>
            </w:r>
            <w:r>
              <w:br/>
              <w:t>• Markdown docs</w:t>
            </w:r>
            <w:r>
              <w:br/>
              <w:t>• Word document</w:t>
            </w:r>
            <w:r>
              <w:br/>
              <w:t>• Workflow code (Mermaid, DOT, YAML, JSON)</w:t>
            </w:r>
            <w:r>
              <w:br/>
              <w:t>• Images (PNG and SVG)</w:t>
            </w:r>
            <w:r>
              <w:br/>
              <w:t>• Notion-import-ready pages</w:t>
            </w:r>
            <w:r>
              <w:br/>
              <w:t>• Linear issue seeds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8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figma.com/online-whiteboard/create-diagram/d9c7e1f2-13b0-49ea-a228-52f4c091b866?utm_source=chatgpt&amp;utm_content=edit_in_figjam&amp;oai_id=v1%2FE87hcmlHvm9PD9PI3UZiXeIWEToyQ6uDtqGvWbwS6CapQYxEkEGgkH&amp;request_id=55aee38b-16c1-4898-b989-832e463813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