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tard-2015-checklist"/>
    <w:p>
      <w:pPr>
        <w:pStyle w:val="Heading1"/>
      </w:pPr>
      <w:r>
        <w:t xml:space="preserve">STARD 2015 Checklist</w:t>
      </w:r>
    </w:p>
    <w:p>
      <w:pPr>
        <w:pStyle w:val="BlockText"/>
      </w:pPr>
      <w:r>
        <w:t xml:space="preserve">Scope: Standards for Reporting of Diagnostic Accuracy Studies.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source/archetypes/stard-2015.yml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or-abstract"/>
    <w:p>
      <w:pPr>
        <w:pStyle w:val="Heading2"/>
      </w:pPr>
      <w:r>
        <w:t xml:space="preserve">Title or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Identification:</w:t>
      </w:r>
      <w:r>
        <w:t xml:space="preserve"> </w:t>
      </w:r>
      <w:r>
        <w:t xml:space="preserve">Identification as a study of diagnostic accuracy using at least one measure of accuracy (such as sensitivity, specificity, predictive values, or AUC).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Structured summary:</w:t>
      </w:r>
      <w:r>
        <w:t xml:space="preserve"> </w:t>
      </w:r>
      <w:r>
        <w:t xml:space="preserve">Structured summary of study design, methods, results, and conclusions (for specific guidance, see STARD for Abstracts).</w:t>
      </w:r>
    </w:p>
    <w:bookmarkEnd w:id="11"/>
    <w:bookmarkStart w:id="12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Scientific and clinical background:</w:t>
      </w:r>
      <w:r>
        <w:t xml:space="preserve"> </w:t>
      </w:r>
      <w:r>
        <w:t xml:space="preserve">Scientific and clinical background, including the intended use and clinical role of the index test.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Study objectives and hypotheses:</w:t>
      </w:r>
      <w:r>
        <w:t xml:space="preserve"> </w:t>
      </w:r>
      <w:r>
        <w:t xml:space="preserve">Study objectives and hypotheses.</w:t>
      </w:r>
    </w:p>
    <w:bookmarkEnd w:id="12"/>
    <w:bookmarkStart w:id="13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Study design:</w:t>
      </w:r>
      <w:r>
        <w:t xml:space="preserve"> </w:t>
      </w:r>
      <w:r>
        <w:t xml:space="preserve">Whether data collection was planned before the index test and reference standard were performed (prospective study) or after (retrospective study).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Participants:</w:t>
      </w:r>
      <w:r>
        <w:t xml:space="preserve"> </w:t>
      </w:r>
      <w:r>
        <w:t xml:space="preserve">Eligibility criteria.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Participants:</w:t>
      </w:r>
      <w:r>
        <w:t xml:space="preserve"> </w:t>
      </w:r>
      <w:r>
        <w:t xml:space="preserve">On what basis potentially eligible participants were identified (such as symptoms, results from previous tests, inclusion in registry).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Participants:</w:t>
      </w:r>
      <w:r>
        <w:t xml:space="preserve"> </w:t>
      </w:r>
      <w:r>
        <w:t xml:space="preserve">Where and when potentially eligible participants were identified (setting, location and dates).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Participants:</w:t>
      </w:r>
      <w:r>
        <w:t xml:space="preserve"> </w:t>
      </w:r>
      <w:r>
        <w:t xml:space="preserve">Whether participants formed a consecutive, random or convenience series.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10a. Test methods:</w:t>
      </w:r>
      <w:r>
        <w:t xml:space="preserve"> </w:t>
      </w:r>
      <w:r>
        <w:t xml:space="preserve">Index test, in sufficient detail to allow replication.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10b. Test methods:</w:t>
      </w:r>
      <w:r>
        <w:t xml:space="preserve"> </w:t>
      </w:r>
      <w:r>
        <w:t xml:space="preserve">Reference standard, in sufficient detail to allow replication.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11. Test methods:</w:t>
      </w:r>
      <w:r>
        <w:t xml:space="preserve"> </w:t>
      </w:r>
      <w:r>
        <w:t xml:space="preserve">Rationale for choosing the reference standard (if alternatives exist).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12a. Test methods:</w:t>
      </w:r>
      <w:r>
        <w:t xml:space="preserve"> </w:t>
      </w:r>
      <w:r>
        <w:t xml:space="preserve">Definition of and rationale for test positivity cut-offs or result categories of the index test, distinguishing prespecified from exploratory.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12b. Test methods:</w:t>
      </w:r>
      <w:r>
        <w:t xml:space="preserve"> </w:t>
      </w:r>
      <w:r>
        <w:t xml:space="preserve">Definition of and rationale for test positivity cut-offs or result categories of the reference standard, distinguishing prespecified from exploratory.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13a. Test methods:</w:t>
      </w:r>
      <w:r>
        <w:t xml:space="preserve"> </w:t>
      </w:r>
      <w:r>
        <w:t xml:space="preserve">Whether clinical information and reference standard results were available to the performers/readers of the index test.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13b. Test methods:</w:t>
      </w:r>
      <w:r>
        <w:t xml:space="preserve"> </w:t>
      </w:r>
      <w:r>
        <w:t xml:space="preserve">Whether clinical information and index test results were available to the assessors of the reference standard.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14. Analysis:</w:t>
      </w:r>
      <w:r>
        <w:t xml:space="preserve"> </w:t>
      </w:r>
      <w:r>
        <w:t xml:space="preserve">Methods for estimating or comparing measures of diagnostic accuracy.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15. Analysis:</w:t>
      </w:r>
      <w:r>
        <w:t xml:space="preserve"> </w:t>
      </w:r>
      <w:r>
        <w:t xml:space="preserve">How indeterminate index test or reference standard results were handled.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16. Analysis:</w:t>
      </w:r>
      <w:r>
        <w:t xml:space="preserve"> </w:t>
      </w:r>
      <w:r>
        <w:t xml:space="preserve">How missing data on the index test and reference standard were handled.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 Analysis:</w:t>
      </w:r>
      <w:r>
        <w:t xml:space="preserve"> </w:t>
      </w:r>
      <w:r>
        <w:t xml:space="preserve">Any analyses of variability in diagnostic accuracy, distinguishing prespecified from exploratory.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 Analysis:</w:t>
      </w:r>
      <w:r>
        <w:t xml:space="preserve"> </w:t>
      </w:r>
      <w:r>
        <w:t xml:space="preserve">Sample size calculation.</w:t>
      </w:r>
    </w:p>
    <w:bookmarkEnd w:id="13"/>
    <w:bookmarkStart w:id="14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19. Participants:</w:t>
      </w:r>
      <w:r>
        <w:t xml:space="preserve"> </w:t>
      </w:r>
      <w:r>
        <w:t xml:space="preserve">Flow of participants, using a diagram.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20. Participants:</w:t>
      </w:r>
      <w:r>
        <w:t xml:space="preserve"> </w:t>
      </w:r>
      <w:r>
        <w:t xml:space="preserve">Baseline demographic and clinical characteristics of participants.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21. Participants:</w:t>
      </w:r>
      <w:r>
        <w:t xml:space="preserve"> </w:t>
      </w:r>
      <w:r>
        <w:t xml:space="preserve">Distribution of severity of disease in those with the target condition; other diagnoses in participants without the target condition.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22. Test results:</w:t>
      </w:r>
      <w:r>
        <w:t xml:space="preserve"> </w:t>
      </w:r>
      <w:r>
        <w:t xml:space="preserve">Time interval from index test to reference standard, and any treatment administered between them.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23. Test results:</w:t>
      </w:r>
      <w:r>
        <w:t xml:space="preserve"> </w:t>
      </w:r>
      <w:r>
        <w:t xml:space="preserve">Cross tabulation of the index test results (or their distribution) by the results of the reference standard; for continuous results, the distribution of the test results by the results of the reference standard.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24. Test results:</w:t>
      </w:r>
      <w:r>
        <w:t xml:space="preserve"> </w:t>
      </w:r>
      <w:r>
        <w:t xml:space="preserve">Any adverse events from performing the index test or the reference standard.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25. Estimates:</w:t>
      </w:r>
      <w:r>
        <w:t xml:space="preserve"> </w:t>
      </w:r>
      <w:r>
        <w:t xml:space="preserve">Estimates of diagnostic accuracy and their precision (such as 95% confidence intervals).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26. Estimates:</w:t>
      </w:r>
      <w:r>
        <w:t xml:space="preserve"> </w:t>
      </w:r>
      <w:r>
        <w:t xml:space="preserve">Any analyses of variability, including subgroup analyses.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27. Estimates:</w:t>
      </w:r>
      <w:r>
        <w:t xml:space="preserve"> </w:t>
      </w:r>
      <w:r>
        <w:t xml:space="preserve">The number of indeterminate test results or missing data and where they occurred.</w:t>
      </w:r>
    </w:p>
    <w:bookmarkEnd w:id="14"/>
    <w:bookmarkStart w:id="15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28. Study limitations:</w:t>
      </w:r>
      <w:r>
        <w:t xml:space="preserve"> </w:t>
      </w:r>
      <w:r>
        <w:t xml:space="preserve">Study limitations, including sources of potential bias, statistical uncertainty, and generalisability.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29. Implications for practice:</w:t>
      </w:r>
      <w:r>
        <w:t xml:space="preserve"> </w:t>
      </w:r>
      <w:r>
        <w:t xml:space="preserve">Implications for practice, including the intended use and clinical role of the index test.</w:t>
      </w:r>
    </w:p>
    <w:bookmarkEnd w:id="15"/>
    <w:bookmarkStart w:id="16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30. Registration number and name of registry:</w:t>
      </w:r>
      <w:r>
        <w:t xml:space="preserve"> </w:t>
      </w:r>
      <w:r>
        <w:t xml:space="preserve">Registration number and name of registry.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31. Where the full study protocol can be accessed:</w:t>
      </w:r>
      <w:r>
        <w:t xml:space="preserve"> </w:t>
      </w:r>
      <w:r>
        <w:t xml:space="preserve">Where the full study protocol can be accessed.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32. Funding:</w:t>
      </w:r>
      <w:r>
        <w:t xml:space="preserve"> </w:t>
      </w:r>
      <w:r>
        <w:t xml:space="preserve">Sources of funding and other support; role of funders.</w:t>
      </w:r>
    </w:p>
    <w:p>
      <w:pPr>
        <w:pStyle w:val="FirstParagraph"/>
      </w:pPr>
      <w:r>
        <w:t xml:space="preserve">Notes</w:t>
      </w:r>
    </w:p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37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source/archetypes/stard-2015.yml</w:t>
      </w:r>
    </w:p>
    <w:p>
      <w:pPr>
        <w:pStyle w:val="Compact"/>
        <w:numPr>
          <w:ilvl w:val="0"/>
          <w:numId w:val="1037"/>
        </w:numPr>
      </w:pPr>
      <w:r>
        <w:t xml:space="preserve">Version: 2015</w:t>
      </w:r>
    </w:p>
    <w:p>
      <w:pPr>
        <w:pStyle w:val="Compact"/>
        <w:numPr>
          <w:ilvl w:val="0"/>
          <w:numId w:val="1037"/>
        </w:numPr>
      </w:pPr>
      <w:r>
        <w:t xml:space="preserve">License: CC-BY-4.0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2025-08-12T00:56:50Z</dcterms:created>
  <dcterms:modified xsi:type="dcterms:W3CDTF">2025-08-12T00:56:50Z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