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ort-for-cluster-trials-checklist"/>
    <w:p>
      <w:pPr>
        <w:pStyle w:val="Heading1"/>
      </w:pPr>
      <w:r>
        <w:t xml:space="preserve">CONSORT for Cluster Trials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and abstract</w:t>
      </w:r>
    </w:p>
    <w:p>
      <w:pPr>
        <w:pStyle w:val="Compact"/>
        <w:numPr>
          <w:ilvl w:val="1"/>
          <w:numId w:val="1003"/>
        </w:numPr>
      </w:pPr>
      <w:r>
        <w:t xml:space="preserve">1a. Identification as a cluster randomised trial in the title</w:t>
      </w:r>
    </w:p>
    <w:p>
      <w:pPr>
        <w:pStyle w:val="Compact"/>
        <w:numPr>
          <w:ilvl w:val="1"/>
          <w:numId w:val="1004"/>
        </w:numPr>
      </w:pPr>
      <w:r>
        <w:t xml:space="preserve">1b. Structured summary of trial design, methods, results, and conclusions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1"/>
          <w:numId w:val="1006"/>
        </w:numPr>
      </w:pPr>
      <w:r>
        <w:t xml:space="preserve">2a. Scientific background and explanation of rationale</w:t>
      </w:r>
    </w:p>
    <w:p>
      <w:pPr>
        <w:pStyle w:val="Compact"/>
        <w:numPr>
          <w:ilvl w:val="1"/>
          <w:numId w:val="1007"/>
        </w:numPr>
      </w:pPr>
      <w:r>
        <w:t xml:space="preserve">2b. Specific objectives or hypotheses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3a. Description of trial design (including allocation ratio, if applicable)</w:t>
      </w:r>
    </w:p>
    <w:p>
      <w:pPr>
        <w:pStyle w:val="Compact"/>
        <w:numPr>
          <w:ilvl w:val="1"/>
          <w:numId w:val="1010"/>
        </w:numPr>
      </w:pPr>
      <w:r>
        <w:t xml:space="preserve">3b. Important changes to methods after trial commencement (such as eligibility criteria), with reasons</w:t>
      </w:r>
    </w:p>
    <w:p>
      <w:pPr>
        <w:pStyle w:val="Compact"/>
        <w:numPr>
          <w:ilvl w:val="1"/>
          <w:numId w:val="1011"/>
        </w:numPr>
      </w:pPr>
      <w:r>
        <w:t xml:space="preserve">4a. Eligibility criteria for participants, clusters, and those delivering the intervention</w:t>
      </w:r>
    </w:p>
    <w:p>
      <w:pPr>
        <w:pStyle w:val="Compact"/>
        <w:numPr>
          <w:ilvl w:val="1"/>
          <w:numId w:val="1012"/>
        </w:numPr>
      </w:pPr>
      <w:r>
        <w:t xml:space="preserve">4b. Settings and locations where the data were collected</w:t>
      </w:r>
    </w:p>
    <w:p>
      <w:pPr>
        <w:pStyle w:val="Compact"/>
        <w:numPr>
          <w:ilvl w:val="1"/>
          <w:numId w:val="1013"/>
        </w:numPr>
      </w:pPr>
      <w:r>
        <w:t xml:space="preserve">5. The interventions for each group with sufficient details to allow replication, including how and when they were actually administered</w:t>
      </w:r>
    </w:p>
    <w:p>
      <w:pPr>
        <w:pStyle w:val="Compact"/>
        <w:numPr>
          <w:ilvl w:val="1"/>
          <w:numId w:val="1014"/>
        </w:numPr>
      </w:pPr>
      <w:r>
        <w:t xml:space="preserve">6a. Completely defined pre-specified primary and secondary outcome measures, including how and when they were assessed</w:t>
      </w:r>
    </w:p>
    <w:p>
      <w:pPr>
        <w:pStyle w:val="Compact"/>
        <w:numPr>
          <w:ilvl w:val="1"/>
          <w:numId w:val="1015"/>
        </w:numPr>
      </w:pPr>
      <w:r>
        <w:t xml:space="preserve">6b. Any changes to trial outcomes after the trial commenced, with reasons</w:t>
      </w:r>
    </w:p>
    <w:p>
      <w:pPr>
        <w:pStyle w:val="Compact"/>
        <w:numPr>
          <w:ilvl w:val="1"/>
          <w:numId w:val="1016"/>
        </w:numPr>
      </w:pPr>
      <w:r>
        <w:t xml:space="preserve">7a. How sample size was determined</w:t>
      </w:r>
    </w:p>
    <w:p>
      <w:pPr>
        <w:pStyle w:val="Compact"/>
        <w:numPr>
          <w:ilvl w:val="1"/>
          <w:numId w:val="1017"/>
        </w:numPr>
      </w:pPr>
      <w:r>
        <w:t xml:space="preserve">7b. When applicable, explanation of any interim analyses and stopping guidelines</w:t>
      </w:r>
    </w:p>
    <w:p>
      <w:pPr>
        <w:pStyle w:val="Compact"/>
        <w:numPr>
          <w:ilvl w:val="1"/>
          <w:numId w:val="1018"/>
        </w:numPr>
      </w:pPr>
      <w:r>
        <w:t xml:space="preserve">8a. Method used to generate the random allocation sequence</w:t>
      </w:r>
    </w:p>
    <w:p>
      <w:pPr>
        <w:pStyle w:val="Compact"/>
        <w:numPr>
          <w:ilvl w:val="1"/>
          <w:numId w:val="1019"/>
        </w:numPr>
      </w:pPr>
      <w:r>
        <w:t xml:space="preserve">8b. Type of randomisation; details of any restriction (e.g., blocking and block size)</w:t>
      </w:r>
    </w:p>
    <w:p>
      <w:pPr>
        <w:pStyle w:val="Compact"/>
        <w:numPr>
          <w:ilvl w:val="1"/>
          <w:numId w:val="1020"/>
        </w:numPr>
      </w:pPr>
      <w:r>
        <w:t xml:space="preserve">9. Mechanism used to implement the random allocation sequence (e.g., central telephone; web-based), describing any steps taken to conceal the sequence until interventions were assigned</w:t>
      </w:r>
    </w:p>
    <w:p>
      <w:pPr>
        <w:pStyle w:val="Compact"/>
        <w:numPr>
          <w:ilvl w:val="1"/>
          <w:numId w:val="1021"/>
        </w:numPr>
      </w:pPr>
      <w:r>
        <w:t xml:space="preserve">10. Who generated the random allocation sequence, who enrolled participants, and who assigned participants to interventions</w:t>
      </w:r>
    </w:p>
    <w:p>
      <w:pPr>
        <w:pStyle w:val="Compact"/>
        <w:numPr>
          <w:ilvl w:val="1"/>
          <w:numId w:val="1022"/>
        </w:numPr>
      </w:pPr>
      <w:r>
        <w:t xml:space="preserve">11a. If done, who was blinded after assignment to interventions (e.g., participants, care providers, those assessing outcomes) and how</w:t>
      </w:r>
    </w:p>
    <w:p>
      <w:pPr>
        <w:pStyle w:val="Compact"/>
        <w:numPr>
          <w:ilvl w:val="1"/>
          <w:numId w:val="1023"/>
        </w:numPr>
      </w:pPr>
      <w:r>
        <w:t xml:space="preserve">11b. If relevant, description of the similarity of interventions</w:t>
      </w:r>
    </w:p>
    <w:p>
      <w:pPr>
        <w:pStyle w:val="Compact"/>
        <w:numPr>
          <w:ilvl w:val="1"/>
          <w:numId w:val="1024"/>
        </w:numPr>
      </w:pPr>
      <w:r>
        <w:t xml:space="preserve">12a. Statistical methods used to compare groups for primary and secondary outcomes</w:t>
      </w:r>
    </w:p>
    <w:p>
      <w:pPr>
        <w:pStyle w:val="Compact"/>
        <w:numPr>
          <w:ilvl w:val="1"/>
          <w:numId w:val="1025"/>
        </w:numPr>
      </w:pPr>
      <w:r>
        <w:t xml:space="preserve">12b. Methods for additional analyses, such as subgroup analyses and adjusted analyses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Results</w:t>
      </w:r>
    </w:p>
    <w:p>
      <w:pPr>
        <w:pStyle w:val="Compact"/>
        <w:numPr>
          <w:ilvl w:val="1"/>
          <w:numId w:val="1027"/>
        </w:numPr>
      </w:pPr>
      <w:r>
        <w:t xml:space="preserve">13a. For each group, the numbers of participants who were randomly assigned, received intended treatment, and were analysed for the primary outcome</w:t>
      </w:r>
    </w:p>
    <w:p>
      <w:pPr>
        <w:pStyle w:val="Compact"/>
        <w:numPr>
          <w:ilvl w:val="1"/>
          <w:numId w:val="1028"/>
        </w:numPr>
      </w:pPr>
      <w:r>
        <w:t xml:space="preserve">13b. For each group, losses and exclusions after randomisation, together with reasons</w:t>
      </w:r>
    </w:p>
    <w:p>
      <w:pPr>
        <w:pStyle w:val="Compact"/>
        <w:numPr>
          <w:ilvl w:val="1"/>
          <w:numId w:val="1029"/>
        </w:numPr>
      </w:pPr>
      <w:r>
        <w:t xml:space="preserve">14a. Dates defining the periods of recruitment and follow-up</w:t>
      </w:r>
    </w:p>
    <w:p>
      <w:pPr>
        <w:pStyle w:val="Compact"/>
        <w:numPr>
          <w:ilvl w:val="1"/>
          <w:numId w:val="1030"/>
        </w:numPr>
      </w:pPr>
      <w:r>
        <w:t xml:space="preserve">14b. Why the trial ended or was stopped</w:t>
      </w:r>
    </w:p>
    <w:p>
      <w:pPr>
        <w:pStyle w:val="Compact"/>
        <w:numPr>
          <w:ilvl w:val="1"/>
          <w:numId w:val="1031"/>
        </w:numPr>
      </w:pPr>
      <w:r>
        <w:t xml:space="preserve">15. A table showing baseline demographic and clinical characteristics for each group</w:t>
      </w:r>
    </w:p>
    <w:p>
      <w:pPr>
        <w:pStyle w:val="Compact"/>
        <w:numPr>
          <w:ilvl w:val="1"/>
          <w:numId w:val="1032"/>
        </w:numPr>
      </w:pPr>
      <w:r>
        <w:t xml:space="preserve">16. For each group, number of participants (denominator) included in each analysis and whether the analysis was by original assigned groups</w:t>
      </w:r>
    </w:p>
    <w:p>
      <w:pPr>
        <w:pStyle w:val="Compact"/>
        <w:numPr>
          <w:ilvl w:val="1"/>
          <w:numId w:val="1033"/>
        </w:numPr>
      </w:pPr>
      <w:r>
        <w:t xml:space="preserve">17a. For each primary and secondary outcome, results for each group, and the estimated effect size and its precision (e.g., 95% confidence interval)</w:t>
      </w:r>
    </w:p>
    <w:p>
      <w:pPr>
        <w:pStyle w:val="Compact"/>
        <w:numPr>
          <w:ilvl w:val="1"/>
          <w:numId w:val="1034"/>
        </w:numPr>
      </w:pPr>
      <w:r>
        <w:t xml:space="preserve">17b. For binary outcomes, presentation of both absolute and relative effect sizes is recommended</w:t>
      </w:r>
    </w:p>
    <w:p>
      <w:pPr>
        <w:pStyle w:val="Compact"/>
        <w:numPr>
          <w:ilvl w:val="1"/>
          <w:numId w:val="1035"/>
        </w:numPr>
      </w:pPr>
      <w:r>
        <w:t xml:space="preserve">18. Results of any other analyses performed, including subgroup analyses and adjusted analyses, distinguishing pre-specified from exploratory</w:t>
      </w:r>
    </w:p>
    <w:p>
      <w:pPr>
        <w:pStyle w:val="Compact"/>
        <w:numPr>
          <w:ilvl w:val="1"/>
          <w:numId w:val="1036"/>
        </w:numPr>
      </w:pPr>
      <w:r>
        <w:t xml:space="preserve">19. All important harms or unintended effects in each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Discussion</w:t>
      </w:r>
    </w:p>
    <w:p>
      <w:pPr>
        <w:pStyle w:val="Compact"/>
        <w:numPr>
          <w:ilvl w:val="1"/>
          <w:numId w:val="1038"/>
        </w:numPr>
      </w:pPr>
      <w:r>
        <w:t xml:space="preserve">20. Trial limitations, addressing sources of potential bias, imprecision, and, if relevant, multiplicity of analyses</w:t>
      </w:r>
    </w:p>
    <w:p>
      <w:pPr>
        <w:pStyle w:val="Compact"/>
        <w:numPr>
          <w:ilvl w:val="1"/>
          <w:numId w:val="1039"/>
        </w:numPr>
      </w:pPr>
      <w:r>
        <w:t xml:space="preserve">21. Generalisability (external validity, applicability) of the trial findings</w:t>
      </w:r>
    </w:p>
    <w:p>
      <w:pPr>
        <w:pStyle w:val="Compact"/>
        <w:numPr>
          <w:ilvl w:val="1"/>
          <w:numId w:val="1040"/>
        </w:numPr>
      </w:pPr>
      <w:r>
        <w:t xml:space="preserve">22. Interpretation consistent with results, balancing benefits and harms, and considering other relevant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 information</w:t>
      </w:r>
    </w:p>
    <w:p>
      <w:pPr>
        <w:pStyle w:val="Compact"/>
        <w:numPr>
          <w:ilvl w:val="1"/>
          <w:numId w:val="1042"/>
        </w:numPr>
      </w:pPr>
      <w:r>
        <w:t xml:space="preserve">23. Registration number and name of trial registry</w:t>
      </w:r>
    </w:p>
    <w:p>
      <w:pPr>
        <w:pStyle w:val="Compact"/>
        <w:numPr>
          <w:ilvl w:val="1"/>
          <w:numId w:val="1043"/>
        </w:numPr>
      </w:pPr>
      <w:r>
        <w:t xml:space="preserve">24. Where the full trial protocol can be accessed, if available</w:t>
      </w:r>
    </w:p>
    <w:p>
      <w:pPr>
        <w:pStyle w:val="Compact"/>
        <w:numPr>
          <w:ilvl w:val="1"/>
          <w:numId w:val="1044"/>
        </w:numPr>
      </w:pPr>
      <w:r>
        <w:t xml:space="preserve">25. Sources of funding and other support (e.g., supply of drugs), role of funders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2025-09-04T23:52:09Z</dcterms:created>
  <dcterms:modified xsi:type="dcterms:W3CDTF">2025-09-04T23:52:09Z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