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9" w:name="spirit-2025-checklist"/>
    <w:p>
      <w:pPr>
        <w:pStyle w:val="Heading1"/>
      </w:pPr>
      <w:r>
        <w:t xml:space="preserve">SPIRIT 2025 Checklist</w:t>
      </w:r>
    </w:p>
    <w:p>
      <w:pPr>
        <w:pStyle w:val="BlockText"/>
      </w:pPr>
      <w:r>
        <w:t xml:space="preserve">Scope: Standard Protocol Items: Recommendations for Interventional Trials.</w:t>
      </w:r>
    </w:p>
    <w:p>
      <w:pPr>
        <w:pStyle w:val="BlockText"/>
      </w:pPr>
      <w:r>
        <w:t xml:space="preserve">Reference: See</w:t>
      </w:r>
      <w:r>
        <w:t xml:space="preserve"> </w:t>
      </w:r>
      <w:r>
        <w:rPr>
          <w:rStyle w:val="VerbatimChar"/>
        </w:rPr>
        <w:t xml:space="preserve">source/archetypes/spirit-2025.yml</w:t>
      </w:r>
      <w:r>
        <w:t xml:space="preserve"> </w:t>
      </w:r>
      <w:r>
        <w:t xml:space="preserve">for canonical link and provenance.</w:t>
      </w:r>
    </w:p>
    <w:bookmarkStart w:id="9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the boxes to confirm each reporting item.</w:t>
      </w:r>
    </w:p>
    <w:p>
      <w:pPr>
        <w:pStyle w:val="Compact"/>
        <w:numPr>
          <w:ilvl w:val="0"/>
          <w:numId w:val="1001"/>
        </w:numPr>
      </w:pPr>
      <w:r>
        <w:t xml:space="preserve">Add reviewer notes under each section as needed.</w:t>
      </w:r>
    </w:p>
    <w:bookmarkEnd w:id="9"/>
    <w:bookmarkStart w:id="10" w:name="administrative-information"/>
    <w:p>
      <w:pPr>
        <w:pStyle w:val="Heading2"/>
      </w:pPr>
      <w:r>
        <w:t xml:space="preserve">Administrative information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 Title:</w:t>
      </w:r>
      <w:r>
        <w:t xml:space="preserve"> </w:t>
      </w:r>
      <w:r>
        <w:t xml:space="preserve">Descriptive title that identifies the study as a randomised trial, the interventions, the trial acronym, and the SPIRIT item this protocol is based on.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2. Trial registration:</w:t>
      </w:r>
      <w:r>
        <w:t xml:space="preserve"> </w:t>
      </w:r>
      <w:r>
        <w:t xml:space="preserve">Trial identifier and registry name. If not yet registered, name of intended registry.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3. Protocol version:</w:t>
      </w:r>
      <w:r>
        <w:t xml:space="preserve"> </w:t>
      </w:r>
      <w:r>
        <w:t xml:space="preserve">Date and version identifier.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4. Funding:</w:t>
      </w:r>
      <w:r>
        <w:t xml:space="preserve"> </w:t>
      </w:r>
      <w:r>
        <w:t xml:space="preserve">Sources and types of financial, material, and other support.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5. Roles and responsibilities:</w:t>
      </w:r>
      <w:r>
        <w:t xml:space="preserve"> </w:t>
      </w:r>
      <w:r>
        <w:t xml:space="preserve">Names, affiliations, and roles of protocol contributors.</w:t>
      </w:r>
    </w:p>
    <w:bookmarkEnd w:id="10"/>
    <w:bookmarkStart w:id="11" w:name="introduction"/>
    <w:p>
      <w:pPr>
        <w:pStyle w:val="Heading2"/>
      </w:pPr>
      <w:r>
        <w:t xml:space="preserve">Introduction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6. Background and rationale:</w:t>
      </w:r>
      <w:r>
        <w:t xml:space="preserve"> </w:t>
      </w:r>
      <w:r>
        <w:t xml:space="preserve">Description of research question and justification for undertaking the trial, including summary of relevant studies.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7. Objectives:</w:t>
      </w:r>
      <w:r>
        <w:t xml:space="preserve"> </w:t>
      </w:r>
      <w:r>
        <w:t xml:space="preserve">Specific objectives or hypotheses.</w:t>
      </w:r>
    </w:p>
    <w:bookmarkEnd w:id="11"/>
    <w:bookmarkStart w:id="12" w:name="Xc4d587c7ec9c2a40fc8b9e4afa53dbb7482418f"/>
    <w:p>
      <w:pPr>
        <w:pStyle w:val="Heading2"/>
      </w:pPr>
      <w:r>
        <w:t xml:space="preserve">Methods: Participants, interventions, and outcomes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8. Trial design:</w:t>
      </w:r>
      <w:r>
        <w:t xml:space="preserve"> </w:t>
      </w:r>
      <w:r>
        <w:t xml:space="preserve">Description of trial design including type of trial, allocation ratio, and framework.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9. Study setting:</w:t>
      </w:r>
      <w:r>
        <w:t xml:space="preserve"> </w:t>
      </w:r>
      <w:r>
        <w:t xml:space="preserve">Description of study settings.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10. Eligibility criteria:</w:t>
      </w:r>
      <w:r>
        <w:t xml:space="preserve"> </w:t>
      </w:r>
      <w:r>
        <w:t xml:space="preserve">Inclusion and exclusion criteria for participants.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11. Interventions:</w:t>
      </w:r>
      <w:r>
        <w:t xml:space="preserve"> </w:t>
      </w:r>
      <w:r>
        <w:t xml:space="preserve">Interventions for each group with sufficient detail to allow replication.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12. Outcomes:</w:t>
      </w:r>
      <w:r>
        <w:t xml:space="preserve"> </w:t>
      </w:r>
      <w:r>
        <w:t xml:space="preserve">Primary, secondary, and other outcomes.</w:t>
      </w:r>
    </w:p>
    <w:bookmarkEnd w:id="12"/>
    <w:bookmarkStart w:id="13" w:name="X013a4cdb8d630cfcdd3c172e164e9cbdc89cd4d"/>
    <w:p>
      <w:pPr>
        <w:pStyle w:val="Heading2"/>
      </w:pPr>
      <w:r>
        <w:t xml:space="preserve">Methods: Assignment of interventions (for controlled trials)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13. Allocation:</w:t>
      </w:r>
      <w:r>
        <w:t xml:space="preserve"> </w:t>
      </w:r>
      <w:r>
        <w:t xml:space="preserve">Sequence generation, concealment mechanism, and implementation.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14. Blinding (masking):</w:t>
      </w:r>
      <w:r>
        <w:t xml:space="preserve"> </w:t>
      </w:r>
      <w:r>
        <w:t xml:space="preserve">Who will be blinded and how.</w:t>
      </w:r>
    </w:p>
    <w:bookmarkEnd w:id="13"/>
    <w:bookmarkStart w:id="14" w:name="X23e783e544c5451753842d3ed918d7b7b2ded62"/>
    <w:p>
      <w:pPr>
        <w:pStyle w:val="Heading2"/>
      </w:pPr>
      <w:r>
        <w:t xml:space="preserve">Methods: Data collection, management, and analysis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15. Data collection methods:</w:t>
      </w:r>
      <w:r>
        <w:t xml:space="preserve"> </w:t>
      </w:r>
      <w:r>
        <w:t xml:space="preserve">Plans for assessment and collection of outcome, baseline, and other trial data.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16. Data management:</w:t>
      </w:r>
      <w:r>
        <w:t xml:space="preserve"> </w:t>
      </w:r>
      <w:r>
        <w:t xml:space="preserve">Plans for data entry, coding, security, and storage.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17. Statistical methods:</w:t>
      </w:r>
      <w:r>
        <w:t xml:space="preserve"> </w:t>
      </w:r>
      <w:r>
        <w:t xml:space="preserve">Statistical methods for analysing primary and secondary outcomes.</w:t>
      </w:r>
    </w:p>
    <w:bookmarkEnd w:id="14"/>
    <w:bookmarkStart w:id="15" w:name="methods-monitoring"/>
    <w:p>
      <w:pPr>
        <w:pStyle w:val="Heading2"/>
      </w:pPr>
      <w:r>
        <w:t xml:space="preserve">Methods: Monitoring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18. Data monitoring:</w:t>
      </w:r>
      <w:r>
        <w:t xml:space="preserve"> </w:t>
      </w:r>
      <w:r>
        <w:t xml:space="preserve">Plans for data monitoring.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19. Harms:</w:t>
      </w:r>
      <w:r>
        <w:t xml:space="preserve"> </w:t>
      </w:r>
      <w:r>
        <w:t xml:space="preserve">Plans for collecting, assessing, reporting, and managing solicited and spontaneously reported adverse events and other unintended effects of trial interventions or trial conduct.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20. Auditing:</w:t>
      </w:r>
      <w:r>
        <w:t xml:space="preserve"> </w:t>
      </w:r>
      <w:r>
        <w:t xml:space="preserve">Frequency and procedures for auditing trial conduct.</w:t>
      </w:r>
    </w:p>
    <w:bookmarkEnd w:id="15"/>
    <w:bookmarkStart w:id="16" w:name="ethics-and-dissemination"/>
    <w:p>
      <w:pPr>
        <w:pStyle w:val="Heading2"/>
      </w:pPr>
      <w:r>
        <w:t xml:space="preserve">Ethics and dissemination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21. Research ethics approval:</w:t>
      </w:r>
      <w:r>
        <w:t xml:space="preserve"> </w:t>
      </w:r>
      <w:r>
        <w:t xml:space="preserve">Plans for seeking research ethics committee/institutional review board approval.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22. Protocol amendments:</w:t>
      </w:r>
      <w:r>
        <w:t xml:space="preserve"> </w:t>
      </w:r>
      <w:r>
        <w:t xml:space="preserve">Plans for communicating important protocol modifications to relevant parties.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23. Consent or assent:</w:t>
      </w:r>
      <w:r>
        <w:t xml:space="preserve"> </w:t>
      </w:r>
      <w:r>
        <w:t xml:space="preserve">Who will obtain informed consent or assent from potential trial participants or authorized surrogates, and how.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24. Confidentiality:</w:t>
      </w:r>
      <w:r>
        <w:t xml:space="preserve"> </w:t>
      </w:r>
      <w:r>
        <w:t xml:space="preserve">How personal information about potential and enrolled participants will be collected, shared, and maintained in order to protect confidentiality before, during, and after the trial.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25. Declaration of interests:</w:t>
      </w:r>
      <w:r>
        <w:t xml:space="preserve"> </w:t>
      </w:r>
      <w:r>
        <w:t xml:space="preserve">Financial and other competing interests for principal investigators for the overall trial and each study site.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26. Access to data:</w:t>
      </w:r>
      <w:r>
        <w:t xml:space="preserve"> </w:t>
      </w:r>
      <w:r>
        <w:t xml:space="preserve">Statement of who will have access to the final trial dataset, and disclosure of contractual agreements that limit such access for investigators.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27. Ancillary and post-trial care:</w:t>
      </w:r>
      <w:r>
        <w:t xml:space="preserve"> </w:t>
      </w:r>
      <w:r>
        <w:t xml:space="preserve">Provisions, if any, for ancillary and post-trial care, and for compensation to those who suffer harm from trial participation.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28. Dissemination policy:</w:t>
      </w:r>
      <w:r>
        <w:t xml:space="preserve"> </w:t>
      </w:r>
      <w:r>
        <w:t xml:space="preserve">Plans for investigators and sponsors to authors and other stakeholders to share trial results.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29. Authorship eligibility:</w:t>
      </w:r>
      <w:r>
        <w:t xml:space="preserve"> </w:t>
      </w:r>
      <w:r>
        <w:t xml:space="preserve">Guidelines for authorship eligibility for trial publications.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30. Reproducibility:</w:t>
      </w:r>
      <w:r>
        <w:t xml:space="preserve"> </w:t>
      </w:r>
      <w:r>
        <w:t xml:space="preserve">Plans for sharing of original data and statistical code.</w:t>
      </w:r>
    </w:p>
    <w:bookmarkEnd w:id="16"/>
    <w:bookmarkStart w:id="17" w:name="appendices"/>
    <w:p>
      <w:pPr>
        <w:pStyle w:val="Heading2"/>
      </w:pPr>
      <w:r>
        <w:t xml:space="preserve">Appendices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31. Informed consent materials:</w:t>
      </w:r>
      <w:r>
        <w:t xml:space="preserve"> </w:t>
      </w:r>
      <w:r>
        <w:t xml:space="preserve">Model consent form and other related documentation given to participants and authorized surrogates.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32. Biological specimens:</w:t>
      </w:r>
      <w:r>
        <w:t xml:space="preserve"> </w:t>
      </w:r>
      <w:r>
        <w:t xml:space="preserve">Plans for collection, laboratory evaluation, and storage of biological specimens for genetic or molecular analysis in the current trial and for future use in ancillary studies, if applicable.</w:t>
      </w:r>
    </w:p>
    <w:p>
      <w:pPr>
        <w:pStyle w:val="FirstParagraph"/>
      </w:pPr>
      <w:r>
        <w:t xml:space="preserve">Notes</w:t>
      </w:r>
    </w:p>
    <w:bookmarkEnd w:id="17"/>
    <w:bookmarkStart w:id="18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34"/>
        </w:numPr>
      </w:pPr>
      <w:r>
        <w:t xml:space="preserve">Source: See sidecar metadata in</w:t>
      </w:r>
      <w:r>
        <w:t xml:space="preserve"> </w:t>
      </w:r>
      <w:r>
        <w:rPr>
          <w:rStyle w:val="VerbatimChar"/>
        </w:rPr>
        <w:t xml:space="preserve">source/archetypes/spirit-2025.yml</w:t>
      </w:r>
    </w:p>
    <w:p>
      <w:pPr>
        <w:pStyle w:val="Compact"/>
        <w:numPr>
          <w:ilvl w:val="0"/>
          <w:numId w:val="1034"/>
        </w:numPr>
      </w:pPr>
      <w:r>
        <w:t xml:space="preserve">Version: 2025</w:t>
      </w:r>
    </w:p>
    <w:p>
      <w:pPr>
        <w:pStyle w:val="Compact"/>
        <w:numPr>
          <w:ilvl w:val="0"/>
          <w:numId w:val="1034"/>
        </w:numPr>
      </w:pPr>
      <w:r>
        <w:t xml:space="preserve">License: CC-BY-4.0</w:t>
      </w:r>
    </w:p>
    <w:bookmarkEnd w:id="18"/>
    <w:bookmarkEnd w:id="1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2025-08-11T23:56:27Z</dcterms:created>
  <dcterms:modified xsi:type="dcterms:W3CDTF">2025-08-11T23:56:27Z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