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6CFF" w14:textId="77777777" w:rsidR="005C2D03" w:rsidRPr="00C72940" w:rsidRDefault="005C2D03" w:rsidP="005C2D03">
      <w:pPr>
        <w:rPr>
          <w:lang w:val="en-GB"/>
        </w:rPr>
      </w:pPr>
      <w:r>
        <w:rPr>
          <w:lang w:val="en-GB"/>
        </w:rPr>
        <w:t>Example f</w:t>
      </w:r>
      <w:r w:rsidRPr="00006022">
        <w:rPr>
          <w:lang w:val="en-GB"/>
        </w:rPr>
        <w:t xml:space="preserve">low diagram adapted from He and Manche </w:t>
      </w:r>
      <w:r w:rsidRPr="00006022">
        <w:rPr>
          <w:lang w:val="en-GB"/>
        </w:rPr>
        <w:fldChar w:fldCharType="begin"/>
      </w:r>
      <w:r>
        <w:rPr>
          <w:lang w:val="en-GB"/>
        </w:rPr>
        <w:instrText xml:space="preserve"> ADDIN ZOTERO_ITEM CSL_CITATION {"citationID":"reot91u38","properties":{"formattedCitation":"[56]","plainCitation":"[56]"},"citationItems":[{"id":1502,"uris":["http://zotero.org/users/1912794/items/2NPUT3R9"],"uri":["http://zotero.org/users/1912794/items/2NPUT3R9"],"itemData":{"id":1502,"type":"article-journal","title":"Contralateral eye-to-eye comparison of wavefront-guided and wavefront-optimized photorefractive keratectomy: a randomized clinical trial","container-title":"JAMA ophthalmology","page":"51-59","volume":"133","issue":"1","source":"PubMed","abstract":"IMPORTANCE: Wavefront-guided (WFG) and wavefront-optimized (WFO) platforms for refractive surgery are designed for improved visual outcomes. It is unclear which treatment profile is superior for patients undergoing photorefractive keratectomy (PRK).\nOBJECTIVE: To compare the safety, efficacy, predictability, stability, and higher-order aberrations in eyes undergoing WFG and WFO PRK.\nDESIGN, SETTING, AND PARTICIPANTS: A prospective, randomized, fellow-eye-controlled clinical trial was conducted at the Byers Eye Institute at Stanford with enrollment between April 2009 and March 2011; 1 year of follow-up was included. Of 90 patients screened, 71 patients (142 eyes) with less than 12.00 diopters (D) of spherical myopia and less than 3.00 D of astigmatism were enrolled consecutively.\nINTERVENTIONS: One eye was randomized to undergo WFG PRK treatment (Visx CustomVue Star S4 IR excimer laser system; Abbott Medical Optics), and the fellow eye received WFO PRK treatment (WaveLight Allegretto Wave Eye-Q 400 Hz excimer laser system; Alcon Surgical).\nMAIN OUTCOMES AND MEASURES: Data on the manifest refraction, uncorrected visual acuity, best-corrected visual acuity, 5% and 25% contrast best-corrected visual acuity, and higher-order aberrations were collected preoperatively and at the 1-, 3-, 6-, and 12-month follow-up visits.\nRESULTS: Eyes undergoing both treatments had improved best-corrected visual acuity (WFG: mean, 0.05 [95% CI, 0.03-0.07]; WFO: mean, 0.04 [95% CI, 0.02-0.06]) and less sphere (WFG: mean, -4.79 [95% CI, -5.31 to -4.26]; WFO: mean, -4.61 [95% CI, -5.18 to -4.03]), cylinder (WFG: mean, 0.66 [95% CI, 0.49-0.82]; WFO: mean, 0.52 [95% CI, 0.35-0.69]), and spherical equivalents (WFG: mean, -4.45 [95% CI, -4.99 to -3.91]; WFO: mean, -4.34 [95% CI, -4.92 to -3.76]) (P &lt; .001) but higher levels of spherical aberration (WFG: mean, -0.11 [95% CI, -0.15 to -0.06]; WFO: mean, -0.11 [95% CI, -0.14 to -0.07]) (P &lt; .001) and higher-order root-mean-square aberrations (WFO: mean, -0.07 [95% CI, -0.12 to -0.02]; WFO: mean, -0.12 [95% CI, -0.17 to -0.70]) (P = .005 in WFG eyes and P &lt; .001 in WFO eyes) at 12 months compared with preoperative measurements. A total of 93.0% of the eyes in the WFG group and 94.4% in the WFO had an uncorrected visual acuity of 20/20 or better at 12 months, with 56.3% in the WFG group and 43.7% in the WFO group gaining 1 or more lines of best-corrected visual acuity. The stability of the refractive correction was excellent for both groups.\nCONCLUSIONS AND RELEVANCE: A difference in uncorrected visual acuity or contrast acuity between eyes undergoing WFG or WFO treatment at 3 months and beyond could not be identified. This lack of difference suggests that both systems can be used to provide excellent improvement in vision for persons with myopia.\nTRIAL REGISTRATION: clinicaltrials.gov Identifier: NCT01135719.","DOI":"10.1001/jamaophthalmol.2014.3876","ISSN":"2168-6173","note":"PMID: 25321951","shortTitle":"Contralateral eye-to-eye comparison of wavefront-guided and wavefront-optimized photorefractive keratectomy","journalAbbreviation":"JAMA Ophthalmol","language":"eng","author":[{"family":"He","given":"Lingmin"},{"family":"Manche","given":"Edward E."}],"issued":{"date-parts":[["2015",1]]},"PMID":"25321951"}}],"schema":"https://github.com/citation-style-language/schema/raw/master/csl-citation.json"} </w:instrText>
      </w:r>
      <w:r w:rsidRPr="00006022">
        <w:rPr>
          <w:lang w:val="en-GB"/>
        </w:rPr>
        <w:fldChar w:fldCharType="separate"/>
      </w:r>
      <w:r w:rsidRPr="003E618F">
        <w:rPr>
          <w:rFonts w:ascii="Calibri" w:hAnsi="Calibri"/>
        </w:rPr>
        <w:t>[56]</w:t>
      </w:r>
      <w:r w:rsidRPr="00006022">
        <w:rPr>
          <w:lang w:val="en-GB"/>
        </w:rPr>
        <w:fldChar w:fldCharType="end"/>
      </w:r>
    </w:p>
    <w:p w14:paraId="39BD59F7" w14:textId="77777777" w:rsidR="00C72940" w:rsidRDefault="00C72940" w:rsidP="00C72940">
      <w:pPr>
        <w:pStyle w:val="Heading4"/>
      </w:pPr>
      <w:r>
        <w:rPr>
          <w:noProof/>
          <w:lang w:val="en-US"/>
        </w:rPr>
        <w:drawing>
          <wp:inline distT="0" distB="0" distL="0" distR="0" wp14:anchorId="30311EB7" wp14:editId="67741EFB">
            <wp:extent cx="4517689" cy="71081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969" cy="71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40" w:rsidSect="005C2D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28041" w14:textId="77777777" w:rsidR="000F61F3" w:rsidRDefault="000F61F3" w:rsidP="00822288">
      <w:pPr>
        <w:spacing w:after="0" w:line="240" w:lineRule="auto"/>
      </w:pPr>
      <w:r>
        <w:separator/>
      </w:r>
    </w:p>
  </w:endnote>
  <w:endnote w:type="continuationSeparator" w:id="0">
    <w:p w14:paraId="580EDE88" w14:textId="77777777" w:rsidR="000F61F3" w:rsidRDefault="000F61F3" w:rsidP="0082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D467" w14:textId="77777777" w:rsidR="00822288" w:rsidRDefault="00000000">
    <w:pPr>
      <w:pStyle w:val="Footer"/>
    </w:pPr>
    <w:sdt>
      <w:sdtPr>
        <w:id w:val="969400743"/>
        <w:placeholder>
          <w:docPart w:val="450AA771BE146A4E89F76EEBEAB6F367"/>
        </w:placeholder>
        <w:temporary/>
        <w:showingPlcHdr/>
      </w:sdtPr>
      <w:sdtContent>
        <w:r w:rsidR="00822288">
          <w:t>[Type text]</w:t>
        </w:r>
      </w:sdtContent>
    </w:sdt>
    <w:r w:rsidR="00822288">
      <w:ptab w:relativeTo="margin" w:alignment="center" w:leader="none"/>
    </w:r>
    <w:sdt>
      <w:sdtPr>
        <w:id w:val="969400748"/>
        <w:placeholder>
          <w:docPart w:val="3C5B57563579F648AF565285C104C93A"/>
        </w:placeholder>
        <w:temporary/>
        <w:showingPlcHdr/>
      </w:sdtPr>
      <w:sdtContent>
        <w:r w:rsidR="00822288">
          <w:t>[Type text]</w:t>
        </w:r>
      </w:sdtContent>
    </w:sdt>
    <w:r w:rsidR="00822288">
      <w:ptab w:relativeTo="margin" w:alignment="right" w:leader="none"/>
    </w:r>
    <w:sdt>
      <w:sdtPr>
        <w:id w:val="969400753"/>
        <w:placeholder>
          <w:docPart w:val="4DDCAA90CB7BAA44A78273E954B2DB76"/>
        </w:placeholder>
        <w:temporary/>
        <w:showingPlcHdr/>
      </w:sdtPr>
      <w:sdtContent>
        <w:r w:rsidR="00822288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80E7" w14:textId="77777777" w:rsidR="00822288" w:rsidRPr="005C2D03" w:rsidRDefault="002062E7" w:rsidP="005C2D03">
    <w:pPr>
      <w:spacing w:after="0" w:line="240" w:lineRule="auto"/>
      <w:jc w:val="both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 xml:space="preserve">From: </w:t>
    </w:r>
    <w:proofErr w:type="spellStart"/>
    <w:r w:rsidR="00822288" w:rsidRPr="005C2D03">
      <w:rPr>
        <w:rFonts w:ascii="Calibri" w:hAnsi="Calibri"/>
        <w:sz w:val="20"/>
        <w:szCs w:val="20"/>
      </w:rPr>
      <w:t>Pandis</w:t>
    </w:r>
    <w:proofErr w:type="spellEnd"/>
    <w:r w:rsidR="00822288" w:rsidRPr="005C2D03">
      <w:rPr>
        <w:rFonts w:ascii="Calibri" w:hAnsi="Calibri"/>
        <w:sz w:val="20"/>
        <w:szCs w:val="20"/>
      </w:rPr>
      <w:t xml:space="preserve"> N, Chung B, Scherer RW, </w:t>
    </w:r>
    <w:proofErr w:type="spellStart"/>
    <w:r w:rsidR="00822288" w:rsidRPr="005C2D03">
      <w:rPr>
        <w:rFonts w:ascii="Calibri" w:hAnsi="Calibri"/>
        <w:sz w:val="20"/>
        <w:szCs w:val="20"/>
      </w:rPr>
      <w:t>Elbourne</w:t>
    </w:r>
    <w:proofErr w:type="spellEnd"/>
    <w:r w:rsidR="00822288" w:rsidRPr="005C2D03">
      <w:rPr>
        <w:rFonts w:ascii="Calibri" w:hAnsi="Calibri"/>
        <w:sz w:val="20"/>
        <w:szCs w:val="20"/>
      </w:rPr>
      <w:t xml:space="preserve"> D, Altman DG. CONSORT 2010 statement: extension checklist for reporting within person </w:t>
    </w:r>
    <w:proofErr w:type="spellStart"/>
    <w:r w:rsidR="00822288" w:rsidRPr="005C2D03">
      <w:rPr>
        <w:rFonts w:ascii="Calibri" w:hAnsi="Calibri"/>
        <w:sz w:val="20"/>
        <w:szCs w:val="20"/>
      </w:rPr>
      <w:t>randomised</w:t>
    </w:r>
    <w:proofErr w:type="spellEnd"/>
    <w:r w:rsidR="00822288" w:rsidRPr="005C2D03">
      <w:rPr>
        <w:rFonts w:ascii="Calibri" w:hAnsi="Calibri"/>
        <w:sz w:val="20"/>
        <w:szCs w:val="20"/>
      </w:rPr>
      <w:t xml:space="preserve"> trials. BMJ. 2017;357.</w:t>
    </w:r>
  </w:p>
  <w:p w14:paraId="6D9ADD61" w14:textId="77777777" w:rsidR="005C2D03" w:rsidRPr="005C2D03" w:rsidRDefault="005C2D03" w:rsidP="005C2D03">
    <w:pPr>
      <w:spacing w:after="0" w:line="240" w:lineRule="auto"/>
      <w:jc w:val="both"/>
      <w:rPr>
        <w:rFonts w:ascii="Calibri" w:hAnsi="Calibri"/>
        <w:i/>
        <w:sz w:val="20"/>
        <w:szCs w:val="20"/>
      </w:rPr>
    </w:pPr>
    <w:r w:rsidRPr="005C2D03">
      <w:rPr>
        <w:rFonts w:ascii="Calibri" w:hAnsi="Calibri"/>
        <w:i/>
        <w:sz w:val="20"/>
        <w:szCs w:val="20"/>
      </w:rPr>
      <w:t>This document is from an Open Access article distributed in accordance with the Creative Commons Attribution Non Commercial (CC BY-NC 4.0) license, which permits others to distribute, remix, adapt, build upon this work non-commercially, and license their derivative works on different terms, provided the original work is properly cited and the use is non-commercial. See: </w:t>
    </w:r>
    <w:hyperlink r:id="rId1" w:history="1">
      <w:r w:rsidRPr="005C2D03">
        <w:rPr>
          <w:rFonts w:ascii="Calibri" w:hAnsi="Calibri"/>
          <w:i/>
          <w:sz w:val="20"/>
          <w:szCs w:val="20"/>
        </w:rPr>
        <w:t>http://creativecommons.org/licenses/by-nc/4.0/</w:t>
      </w:r>
    </w:hyperlink>
    <w:r w:rsidRPr="005C2D03">
      <w:rPr>
        <w:rFonts w:ascii="Calibri" w:hAnsi="Calibri"/>
        <w:i/>
        <w:sz w:val="20"/>
        <w:szCs w:val="20"/>
      </w:rPr>
      <w:t>.</w:t>
    </w:r>
  </w:p>
  <w:p w14:paraId="692BCCAB" w14:textId="77777777" w:rsidR="005C2D03" w:rsidRPr="005C2D03" w:rsidRDefault="005C2D03" w:rsidP="005C2D03">
    <w:pPr>
      <w:spacing w:after="0" w:line="240" w:lineRule="auto"/>
      <w:jc w:val="both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6CF2" w14:textId="77777777" w:rsidR="002062E7" w:rsidRDefault="00206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4811" w14:textId="77777777" w:rsidR="000F61F3" w:rsidRDefault="000F61F3" w:rsidP="00822288">
      <w:pPr>
        <w:spacing w:after="0" w:line="240" w:lineRule="auto"/>
      </w:pPr>
      <w:r>
        <w:separator/>
      </w:r>
    </w:p>
  </w:footnote>
  <w:footnote w:type="continuationSeparator" w:id="0">
    <w:p w14:paraId="2CB73403" w14:textId="77777777" w:rsidR="000F61F3" w:rsidRDefault="000F61F3" w:rsidP="00822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1C1F" w14:textId="77777777" w:rsidR="002062E7" w:rsidRDefault="00206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85CBA" w14:textId="77777777" w:rsidR="002062E7" w:rsidRDefault="002062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1AC2" w14:textId="77777777" w:rsidR="002062E7" w:rsidRDefault="002062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40"/>
    <w:rsid w:val="000F61F3"/>
    <w:rsid w:val="002062E7"/>
    <w:rsid w:val="005C2D03"/>
    <w:rsid w:val="00822288"/>
    <w:rsid w:val="00B95E60"/>
    <w:rsid w:val="00C15F68"/>
    <w:rsid w:val="00C7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0B0FB"/>
  <w14:defaultImageDpi w14:val="300"/>
  <w15:docId w15:val="{968DED22-E34E-415C-8375-5B67D9D4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940"/>
    <w:pPr>
      <w:spacing w:after="180" w:line="336" w:lineRule="auto"/>
    </w:pPr>
    <w:rPr>
      <w:rFonts w:asciiTheme="majorHAnsi" w:hAnsiTheme="majorHAnsi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940"/>
    <w:pPr>
      <w:keepNext/>
      <w:keepLines/>
      <w:spacing w:before="180" w:after="80"/>
      <w:outlineLvl w:val="3"/>
    </w:pPr>
    <w:rPr>
      <w:rFonts w:eastAsiaTheme="majorEastAsia" w:cstheme="majorBidi"/>
      <w:b/>
      <w:i/>
      <w:iCs/>
      <w:color w:val="365F91" w:themeColor="accent1" w:themeShade="B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2940"/>
    <w:rPr>
      <w:rFonts w:asciiTheme="majorHAnsi" w:eastAsiaTheme="majorEastAsia" w:hAnsiTheme="majorHAnsi" w:cstheme="majorBidi"/>
      <w:b/>
      <w:i/>
      <w:iCs/>
      <w:color w:val="365F91" w:themeColor="accent1" w:themeShade="B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9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940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222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88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22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88"/>
    <w:rPr>
      <w:rFonts w:asciiTheme="majorHAnsi" w:hAnsiTheme="majorHAns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C2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0AA771BE146A4E89F76EEBEAB6F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1CBA8-68D2-A240-845E-DC1A41040D5F}"/>
      </w:docPartPr>
      <w:docPartBody>
        <w:p w:rsidR="00C91C38" w:rsidRDefault="00C91C38" w:rsidP="00C91C38">
          <w:pPr>
            <w:pStyle w:val="450AA771BE146A4E89F76EEBEAB6F367"/>
          </w:pPr>
          <w:r>
            <w:t>[Type text]</w:t>
          </w:r>
        </w:p>
      </w:docPartBody>
    </w:docPart>
    <w:docPart>
      <w:docPartPr>
        <w:name w:val="3C5B57563579F648AF565285C104C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303E7-7465-E84A-A95D-952C6F778217}"/>
      </w:docPartPr>
      <w:docPartBody>
        <w:p w:rsidR="00C91C38" w:rsidRDefault="00C91C38" w:rsidP="00C91C38">
          <w:pPr>
            <w:pStyle w:val="3C5B57563579F648AF565285C104C93A"/>
          </w:pPr>
          <w:r>
            <w:t>[Type text]</w:t>
          </w:r>
        </w:p>
      </w:docPartBody>
    </w:docPart>
    <w:docPart>
      <w:docPartPr>
        <w:name w:val="4DDCAA90CB7BAA44A78273E954B2D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82843-9994-DB40-A46A-F157BC3C2717}"/>
      </w:docPartPr>
      <w:docPartBody>
        <w:p w:rsidR="00C91C38" w:rsidRDefault="00C91C38" w:rsidP="00C91C38">
          <w:pPr>
            <w:pStyle w:val="4DDCAA90CB7BAA44A78273E954B2DB7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C38"/>
    <w:rsid w:val="007B2817"/>
    <w:rsid w:val="00C9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AA771BE146A4E89F76EEBEAB6F367">
    <w:name w:val="450AA771BE146A4E89F76EEBEAB6F367"/>
    <w:rsid w:val="00C91C38"/>
  </w:style>
  <w:style w:type="paragraph" w:customStyle="1" w:styleId="3C5B57563579F648AF565285C104C93A">
    <w:name w:val="3C5B57563579F648AF565285C104C93A"/>
    <w:rsid w:val="00C91C38"/>
  </w:style>
  <w:style w:type="paragraph" w:customStyle="1" w:styleId="4DDCAA90CB7BAA44A78273E954B2DB76">
    <w:name w:val="4DDCAA90CB7BAA44A78273E954B2DB76"/>
    <w:rsid w:val="00C91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E0F9CC-04F9-984E-A3EF-22051FA3D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3414</Characters>
  <Application>Microsoft Office Word</Application>
  <DocSecurity>0</DocSecurity>
  <Lines>28</Lines>
  <Paragraphs>8</Paragraphs>
  <ScaleCrop>false</ScaleCrop>
  <Company>OHRI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Shamseer</dc:creator>
  <cp:keywords/>
  <dc:description/>
  <cp:lastModifiedBy>Shona Kirtley</cp:lastModifiedBy>
  <cp:revision>2</cp:revision>
  <dcterms:created xsi:type="dcterms:W3CDTF">2023-08-31T10:50:00Z</dcterms:created>
  <dcterms:modified xsi:type="dcterms:W3CDTF">2023-08-31T10:50:00Z</dcterms:modified>
</cp:coreProperties>
</file>