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b/>
          <w:color w:val="1F3B57"/>
          <w:sz w:val="38"/>
        </w:rPr>
        <w:t>MARIE EDITH R. A. M. GNACADJA</w:t>
      </w:r>
    </w:p>
    <w:p>
      <w:pPr>
        <w:jc w:val="left"/>
      </w:pPr>
      <w:r>
        <w:rPr>
          <w:b/>
          <w:i w:val="0"/>
        </w:rPr>
        <w:t>Communication santé · Nutrition et sécurité alimentaire · Production de supports</w:t>
      </w:r>
    </w:p>
    <w:p>
      <w:pPr>
        <w:jc w:val="left"/>
      </w:pPr>
      <w:r>
        <w:rPr>
          <w:b w:val="0"/>
          <w:i w:val="0"/>
        </w:rPr>
        <w:t>Womey, Abomey-Calavi, Atlantique, Bénin · +229 62 07 56 06 · edithgnaca1@gmail.com</w:t>
      </w:r>
    </w:p>
    <w:p>
      <w:pPr>
        <w:jc w:val="left"/>
      </w:pPr>
      <w:r>
        <w:rPr>
          <w:b w:val="0"/>
          <w:i w:val="0"/>
        </w:rPr>
        <w:t>Nationalité béninoise · Permis B · Français courant, notions de fon et de mina · Anglais intermédiaire · Disponibilité immédiate</w:t>
      </w:r>
    </w:p>
    <w:p>
      <w:pPr>
        <w:pBdr>
          <w:bottom w:val="single" w:sz="4" w:space="2" w:color="BBBBBB"/>
        </w:pBdr>
        <w:spacing w:before="40" w:after="80"/>
      </w:pPr>
    </w:p>
    <w:p>
      <w:pPr>
        <w:spacing w:before="180" w:after="60"/>
        <w:pBdr>
          <w:bottom w:val="single" w:sz="6" w:space="2" w:color="1F3B57"/>
        </w:pBdr>
      </w:pPr>
      <w:r>
        <w:rPr>
          <w:b/>
          <w:color w:val="1F3B57"/>
          <w:sz w:val="21"/>
        </w:rPr>
        <w:t>PROFIL</w:t>
      </w:r>
    </w:p>
    <w:p>
      <w:pPr>
        <w:jc w:val="left"/>
      </w:pPr>
      <w:r>
        <w:rPr>
          <w:b w:val="0"/>
          <w:i w:val="0"/>
        </w:rPr>
        <w:t>Nutritionniste de santé publique, titulaire d'un Master en Nutrition et santé des populations (IRSP Ouidah, 2025-2026) et graphiste — auteure du logo du Benin Science Leadership Program (B-SLP) et de la série d'attestations du programme MINNAGAN financé par l'Union européenne. Trois analyses de situation menées en zones sanitaires — départementale, nutritionnelle et étude interventionnelle communautaire — m'ont donné l'habitude de transformer des données de terrain en messages clairs : rapports, présentations, supports de sensibilisation.</w:t>
      </w:r>
    </w:p>
    <w:p>
      <w:pPr>
        <w:jc w:val="left"/>
      </w:pPr>
      <w:r>
        <w:rPr>
          <w:b w:val="0"/>
          <w:i w:val="0"/>
        </w:rPr>
        <w:t>Je souhaite mettre cette double compétence — comprendre les enjeux nutritionnels et les rendre visibles — au service de la communication du Programme alimentaire mondial au Bénin, dont les programmes (cantines scolaires, nutrition des 1 000 jours, résilience) reposent sur la mobilisation des communautés et la crédibilité auprès des partenaires.</w:t>
      </w:r>
    </w:p>
    <w:p>
      <w:pPr>
        <w:pBdr>
          <w:bottom w:val="single" w:sz="4" w:space="2" w:color="BBBBBB"/>
        </w:pBdr>
        <w:spacing w:before="40" w:after="80"/>
      </w:pPr>
    </w:p>
    <w:p>
      <w:pPr>
        <w:spacing w:before="180" w:after="60"/>
        <w:pBdr>
          <w:bottom w:val="single" w:sz="6" w:space="2" w:color="1F3B57"/>
        </w:pBdr>
      </w:pPr>
      <w:r>
        <w:rPr>
          <w:b/>
          <w:color w:val="1F3B57"/>
          <w:sz w:val="21"/>
        </w:rPr>
        <w:t>EXPÉRIENCE DE TERRAIN ET TRAVAUX</w:t>
      </w:r>
    </w:p>
    <w:p>
      <w:pPr>
        <w:spacing w:before="100" w:after="20"/>
      </w:pPr>
      <w:r>
        <w:rPr>
          <w:b/>
          <w:i w:val="0"/>
          <w:sz w:val="21"/>
        </w:rPr>
        <w:t>Stage académique — Étude interventionnelle hygiène hydro-fécale et alimentaire</w:t>
      </w:r>
    </w:p>
    <w:p>
      <w:pPr>
        <w:jc w:val="left"/>
      </w:pPr>
      <w:r>
        <w:rPr>
          <w:b w:val="0"/>
          <w:i/>
        </w:rPr>
        <w:t>Zone sanitaire Abomey-Calavi / So-Ava (communautés) — mai 2026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>Élaboration de l'échantillonnage et conduite de la collecte de données auprès des ménages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>Observations ménagères et analyse des scores CAPP (Connaissances, Attitudes, Pratiques et Perception)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>Comparaison avant / après intervention et interprétation des résultats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>Formulation de recommandations opérationnelles en santé publique</w:t>
      </w:r>
    </w:p>
    <w:p>
      <w:pPr>
        <w:jc w:val="left"/>
      </w:pPr>
      <w:r>
        <w:rPr>
          <w:b/>
          <w:i w:val="0"/>
        </w:rPr>
        <w:t>Compétences mobilisées :</w:t>
      </w:r>
      <w:r>
        <w:rPr>
          <w:b w:val="0"/>
          <w:i w:val="0"/>
        </w:rPr>
        <w:t xml:space="preserve"> enquête terrain, outils de collecte, mesure du changement de comportement, restitution de résultats.</w:t>
      </w:r>
    </w:p>
    <w:p>
      <w:pPr>
        <w:spacing w:before="100" w:after="20"/>
      </w:pPr>
      <w:r>
        <w:rPr>
          <w:b/>
          <w:i w:val="0"/>
          <w:sz w:val="21"/>
        </w:rPr>
        <w:t>Stage académique — Analyse de situation nutritionnelle</w:t>
      </w:r>
    </w:p>
    <w:p>
      <w:pPr>
        <w:jc w:val="left"/>
      </w:pPr>
      <w:r>
        <w:rPr>
          <w:b w:val="0"/>
          <w:i/>
        </w:rPr>
        <w:t>Zone sanitaire Aplahoué–Djakotomey–Dogbo (ADD) — février 2026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>Collecte et analyse de données DHIS2, annuaires statistiques et plans de développement communaux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>Conduite d'entretiens et d'observations de terrain (enquêtes qualitatives)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>Analyse des indicateurs nutritionnels et réalisation d'une analyse SWOT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>Priorisation des problèmes de santé et rédaction du rapport d'analyse</w:t>
      </w:r>
    </w:p>
    <w:p>
      <w:pPr>
        <w:jc w:val="left"/>
      </w:pPr>
      <w:r>
        <w:rPr>
          <w:b/>
          <w:i w:val="0"/>
        </w:rPr>
        <w:t>Compétences mobilisées :</w:t>
      </w:r>
      <w:r>
        <w:rPr>
          <w:b w:val="0"/>
          <w:i w:val="0"/>
        </w:rPr>
        <w:t xml:space="preserve"> exploitation de données sanitaires officielles, synthèse, hiérarchisation de l'information, rédaction technique.</w:t>
      </w:r>
    </w:p>
    <w:p>
      <w:pPr>
        <w:spacing w:before="100" w:after="20"/>
      </w:pPr>
      <w:r>
        <w:rPr>
          <w:b/>
          <w:i w:val="0"/>
          <w:sz w:val="21"/>
        </w:rPr>
        <w:t>Stage académique — Analyse de situation sanitaire départementale</w:t>
      </w:r>
    </w:p>
    <w:p>
      <w:pPr>
        <w:jc w:val="left"/>
      </w:pPr>
      <w:r>
        <w:rPr>
          <w:b w:val="0"/>
          <w:i/>
        </w:rPr>
        <w:t>Direction départementale de la Santé du Littoral — septembre 2025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>Analyse de situation sanitaire au niveau départemental, notamment sur la couverture vaccinale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>Exploitation des documents de planification sanitaire (Lettre de mission, AOF)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>Entretiens avec les responsables des divisions Santé publique et Santé communautaire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>Élaboration d'un plan opérationnel : objectifs SMART, stratégies, activités, indicateurs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>Initiation à la planification, au suivi et à l'évaluation des interventions sanitaires</w:t>
      </w:r>
    </w:p>
    <w:p>
      <w:pPr>
        <w:jc w:val="left"/>
      </w:pPr>
      <w:r>
        <w:rPr>
          <w:b/>
          <w:i w:val="0"/>
        </w:rPr>
        <w:t>Compétences mobilisées :</w:t>
      </w:r>
      <w:r>
        <w:rPr>
          <w:b w:val="0"/>
          <w:i w:val="0"/>
        </w:rPr>
        <w:t xml:space="preserve"> entretiens institutionnels, cadrage logique, rédaction de documents de projet.</w:t>
      </w:r>
    </w:p>
    <w:p>
      <w:pPr>
        <w:spacing w:before="100" w:after="20"/>
      </w:pPr>
      <w:r>
        <w:rPr>
          <w:b/>
          <w:i w:val="0"/>
          <w:sz w:val="21"/>
        </w:rPr>
        <w:t>Stagiaire en microbiologie moléculaire et médicale — URMAPHA, Université d'Abomey-Calavi</w:t>
      </w:r>
    </w:p>
    <w:p>
      <w:pPr>
        <w:jc w:val="left"/>
      </w:pPr>
      <w:r>
        <w:rPr>
          <w:b w:val="0"/>
          <w:i/>
        </w:rPr>
        <w:t>2023 – 2024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>Préparation et traitement d'échantillons biologiques ; culture et entretien de micro-organismes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>Tenue de notes de laboratoire et rédaction de rapports de résultats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>Application stricte des protocoles de sécurité et des bonnes pratiques de laboratoire</w:t>
      </w:r>
    </w:p>
    <w:p>
      <w:pPr>
        <w:spacing w:before="100" w:after="20"/>
      </w:pPr>
      <w:r>
        <w:rPr>
          <w:b/>
          <w:i w:val="0"/>
          <w:sz w:val="21"/>
        </w:rPr>
        <w:t>Gestionnaire du volet administratif — URMAPHA, Université d'Abomey-Calavi</w:t>
      </w:r>
    </w:p>
    <w:p>
      <w:pPr>
        <w:jc w:val="left"/>
      </w:pPr>
      <w:r>
        <w:rPr>
          <w:b w:val="0"/>
          <w:i/>
        </w:rPr>
        <w:t>2023 – 2024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>Archivage et transmission des dossiers ; rédaction et enregistrement des courriers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>Préparation de rapports d'activités et de rapports qualité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>Documentation des procédures et des protocoles de l'unité</w:t>
      </w:r>
    </w:p>
    <w:p>
      <w:pPr>
        <w:spacing w:before="100" w:after="20"/>
      </w:pPr>
      <w:r>
        <w:rPr>
          <w:b/>
          <w:i w:val="0"/>
          <w:sz w:val="21"/>
        </w:rPr>
        <w:t>Participation à la vie scientifique de l'URMAPHA — 2023-2024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>Organisation de l'atelier du Programme de leadership scientifique au Bénin (« Leadership scientifique pour le développement durable et l'innovation technologique »)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>Organisation d'une activité sur les revues et conférences prédatrices</w:t>
      </w:r>
    </w:p>
    <w:p>
      <w:pPr>
        <w:pStyle w:val="ListBullet"/>
        <w:spacing w:after="20"/>
        <w:ind w:left="312"/>
      </w:pPr>
      <w:r>
        <w:rPr>
          <w:b w:val="0"/>
          <w:i w:val="0"/>
        </w:rPr>
        <w:t xml:space="preserve">Enquêtrice pour le projet </w:t>
      </w:r>
      <w:r>
        <w:rPr>
          <w:b/>
          <w:i w:val="0"/>
        </w:rPr>
        <w:t>Minangan</w:t>
      </w:r>
      <w:r>
        <w:rPr>
          <w:b w:val="0"/>
          <w:i w:val="0"/>
        </w:rPr>
        <w:t xml:space="preserve"> — enquête sur la médecine traditionnelle au Bénin (pratiques et perspectives liées à l'utilisation des plantes médicinales)</w:t>
      </w:r>
    </w:p>
    <w:p>
      <w:pPr>
        <w:pBdr>
          <w:bottom w:val="single" w:sz="4" w:space="2" w:color="BBBBBB"/>
        </w:pBdr>
        <w:spacing w:before="40" w:after="80"/>
      </w:pPr>
    </w:p>
    <w:p>
      <w:pPr>
        <w:spacing w:before="180" w:after="60"/>
        <w:pBdr>
          <w:bottom w:val="single" w:sz="6" w:space="2" w:color="1F3B57"/>
        </w:pBdr>
      </w:pPr>
      <w:r>
        <w:rPr>
          <w:b/>
          <w:color w:val="1F3B57"/>
          <w:sz w:val="21"/>
        </w:rPr>
        <w:t>RÉALISATIONS EN GRAPHISME ET COMMUNICATION VISUELLE</w:t>
      </w:r>
    </w:p>
    <w:p>
      <w:pPr>
        <w:jc w:val="left"/>
      </w:pPr>
      <w:r>
        <w:rPr>
          <w:b/>
          <w:i w:val="0"/>
        </w:rPr>
        <w:t>Identité visuelle — Benin Science Leadership Program (B-SLP)</w:t>
      </w:r>
    </w:p>
    <w:p>
      <w:pPr>
        <w:jc w:val="left"/>
      </w:pPr>
      <w:r>
        <w:rPr>
          <w:b w:val="0"/>
          <w:i w:val="0"/>
        </w:rPr>
        <w:t>Conception du logo du programme de leadership scientifique au Bénin. La silhouette du pays est construite en pointillés à partir de structures moléculaires, associée à une cible symbolisant l'objectif et la trajectoire.</w:t>
      </w:r>
    </w:p>
    <w:p>
      <w:pPr>
        <w:jc w:val="left"/>
      </w:pPr>
      <w:r>
        <w:rPr>
          <w:b/>
          <w:i w:val="0"/>
        </w:rPr>
        <w:t>Série d'attestations — programme MINNAGAN (Union européenne, Erasmus+)</w:t>
      </w:r>
    </w:p>
    <w:p>
      <w:pPr>
        <w:jc w:val="left"/>
      </w:pPr>
      <w:r>
        <w:rPr>
          <w:b w:val="0"/>
          <w:i w:val="0"/>
        </w:rPr>
        <w:t>Conception et mise en page d'une famille d'attestations (participation, supervision d'enquête, formation pédagogique, formation de formateurs) pour un programme réunissant l'Université d'Abomey-Calavi, l'UNSTIM, l'Université de Parakou, l'Université de Helsinki, l'Université San Jorge et le ministère de la Santé. Système graphique décliné avec intégration des logos partenaires.</w:t>
      </w:r>
    </w:p>
    <w:p>
      <w:pPr>
        <w:jc w:val="left"/>
      </w:pPr>
      <w:r>
        <w:rPr>
          <w:b/>
          <w:i w:val="0"/>
        </w:rPr>
        <w:t>Étiquette produit — charbon actif PolFFree-AC (URMAPHA)</w:t>
      </w:r>
    </w:p>
    <w:p>
      <w:pPr>
        <w:jc w:val="left"/>
      </w:pPr>
      <w:r>
        <w:rPr>
          <w:b w:val="0"/>
          <w:i w:val="0"/>
        </w:rPr>
        <w:t>Création du visuel de présentation d'un charbon actif destiné à éliminer les polluants organiques de l'eau : matière première, produit fini, indication d'usage et identification du laboratoire.</w:t>
      </w:r>
    </w:p>
    <w:p>
      <w:pPr>
        <w:jc w:val="left"/>
      </w:pPr>
      <w:r>
        <w:rPr>
          <w:b/>
          <w:i w:val="0"/>
        </w:rPr>
        <w:t>Mise en page de documents scientifiques</w:t>
      </w:r>
    </w:p>
    <w:p>
      <w:pPr>
        <w:jc w:val="left"/>
      </w:pPr>
      <w:r>
        <w:rPr>
          <w:b w:val="0"/>
          <w:i w:val="0"/>
        </w:rPr>
        <w:t>Mise en forme de tableaux de synthèse et de supports de formation pour l'URMAPHA et l'École polytechnique d'Abomey-Calavi.</w:t>
      </w:r>
    </w:p>
    <w:p>
      <w:pPr>
        <w:jc w:val="left"/>
      </w:pPr>
      <w:r>
        <w:rPr>
          <w:b/>
          <w:i w:val="0"/>
        </w:rPr>
        <w:t>Série de visuels pour réseaux sociaux</w:t>
      </w:r>
    </w:p>
    <w:p>
      <w:pPr>
        <w:jc w:val="left"/>
      </w:pPr>
      <w:r>
        <w:rPr>
          <w:b w:val="0"/>
          <w:i w:val="0"/>
        </w:rPr>
        <w:t>Conception d'une série de visuels au format carré, avec palette, typographie et gabarits réutilisables.</w:t>
      </w:r>
    </w:p>
    <w:p>
      <w:pPr>
        <w:pBdr>
          <w:bottom w:val="single" w:sz="4" w:space="2" w:color="BBBBBB"/>
        </w:pBdr>
        <w:spacing w:before="40" w:after="80"/>
      </w:pPr>
    </w:p>
    <w:p>
      <w:pPr>
        <w:spacing w:before="180" w:after="60"/>
        <w:pBdr>
          <w:bottom w:val="single" w:sz="6" w:space="2" w:color="1F3B57"/>
        </w:pBdr>
      </w:pPr>
      <w:r>
        <w:rPr>
          <w:b/>
          <w:color w:val="1F3B57"/>
          <w:sz w:val="21"/>
        </w:rPr>
        <w:t>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</w:tcPr>
          <w:p>
            <w:r/>
            <w:r>
              <w:rPr>
                <w:b/>
                <w:i w:val="0"/>
                <w:sz w:val="17"/>
              </w:rPr>
              <w:t>Diplôme</w:t>
            </w:r>
          </w:p>
        </w:tc>
        <w:tc>
          <w:tcPr>
            <w:tcW w:type="dxa" w:w="3437"/>
          </w:tcPr>
          <w:p>
            <w:r/>
            <w:r>
              <w:rPr>
                <w:b/>
                <w:i w:val="0"/>
                <w:sz w:val="17"/>
              </w:rPr>
              <w:t>Établissement</w:t>
            </w:r>
          </w:p>
        </w:tc>
        <w:tc>
          <w:tcPr>
            <w:tcW w:type="dxa" w:w="3437"/>
          </w:tcPr>
          <w:p>
            <w:r/>
            <w:r>
              <w:rPr>
                <w:b/>
                <w:i w:val="0"/>
                <w:sz w:val="17"/>
              </w:rPr>
              <w:t>Année</w:t>
            </w:r>
          </w:p>
        </w:tc>
      </w:tr>
      <w:tr>
        <w:tc>
          <w:tcPr>
            <w:tcW w:type="dxa" w:w="3437"/>
          </w:tcPr>
          <w:p>
            <w:r/>
            <w:r>
              <w:rPr>
                <w:b w:val="0"/>
                <w:i w:val="0"/>
                <w:sz w:val="17"/>
              </w:rPr>
              <w:t>Master 2 — Nutrition et santé des populations</w:t>
            </w:r>
          </w:p>
        </w:tc>
        <w:tc>
          <w:tcPr>
            <w:tcW w:type="dxa" w:w="3437"/>
          </w:tcPr>
          <w:p>
            <w:r/>
            <w:r>
              <w:rPr>
                <w:b w:val="0"/>
                <w:i w:val="0"/>
                <w:sz w:val="17"/>
              </w:rPr>
              <w:t>Institut Régional de Santé Publique (IRSP), Ouidah</w:t>
            </w:r>
          </w:p>
        </w:tc>
        <w:tc>
          <w:tcPr>
            <w:tcW w:type="dxa" w:w="3437"/>
          </w:tcPr>
          <w:p>
            <w:r/>
            <w:r>
              <w:rPr>
                <w:b w:val="0"/>
                <w:i w:val="0"/>
                <w:sz w:val="17"/>
              </w:rPr>
              <w:t>2025 – 2026</w:t>
            </w:r>
          </w:p>
        </w:tc>
      </w:tr>
      <w:tr>
        <w:tc>
          <w:tcPr>
            <w:tcW w:type="dxa" w:w="3437"/>
          </w:tcPr>
          <w:p>
            <w:r/>
            <w:r>
              <w:rPr>
                <w:b w:val="0"/>
                <w:i w:val="0"/>
                <w:sz w:val="17"/>
              </w:rPr>
              <w:t>Master 1 — Nutrition et santé des populations</w:t>
            </w:r>
          </w:p>
        </w:tc>
        <w:tc>
          <w:tcPr>
            <w:tcW w:type="dxa" w:w="3437"/>
          </w:tcPr>
          <w:p>
            <w:r/>
            <w:r>
              <w:rPr>
                <w:b w:val="0"/>
                <w:i w:val="0"/>
                <w:sz w:val="17"/>
              </w:rPr>
              <w:t>Institut Régional de Santé Publique (IRSP), Ouidah</w:t>
            </w:r>
          </w:p>
        </w:tc>
        <w:tc>
          <w:tcPr>
            <w:tcW w:type="dxa" w:w="3437"/>
          </w:tcPr>
          <w:p>
            <w:r/>
            <w:r>
              <w:rPr>
                <w:b w:val="0"/>
                <w:i w:val="0"/>
                <w:sz w:val="17"/>
              </w:rPr>
              <w:t>2024 – 2025</w:t>
            </w:r>
          </w:p>
        </w:tc>
      </w:tr>
      <w:tr>
        <w:tc>
          <w:tcPr>
            <w:tcW w:type="dxa" w:w="3437"/>
          </w:tcPr>
          <w:p>
            <w:r/>
            <w:r>
              <w:rPr>
                <w:b w:val="0"/>
                <w:i w:val="0"/>
                <w:sz w:val="17"/>
              </w:rPr>
              <w:t>Diplôme Universitaire — Éducation nutritionnelle pour l'Afrique francophone</w:t>
            </w:r>
          </w:p>
        </w:tc>
        <w:tc>
          <w:tcPr>
            <w:tcW w:type="dxa" w:w="3437"/>
          </w:tcPr>
          <w:p>
            <w:r/>
            <w:r>
              <w:rPr>
                <w:b w:val="0"/>
                <w:i w:val="0"/>
                <w:sz w:val="17"/>
              </w:rPr>
              <w:t>Université Senghor (en ligne)</w:t>
            </w:r>
          </w:p>
        </w:tc>
        <w:tc>
          <w:tcPr>
            <w:tcW w:type="dxa" w:w="3437"/>
          </w:tcPr>
          <w:p>
            <w:r/>
            <w:r>
              <w:rPr>
                <w:b w:val="0"/>
                <w:i w:val="0"/>
                <w:sz w:val="17"/>
              </w:rPr>
              <w:t>oct. 2024 – mai 2025</w:t>
            </w:r>
          </w:p>
        </w:tc>
      </w:tr>
      <w:tr>
        <w:tc>
          <w:tcPr>
            <w:tcW w:type="dxa" w:w="3437"/>
          </w:tcPr>
          <w:p>
            <w:r/>
            <w:r>
              <w:rPr>
                <w:b w:val="0"/>
                <w:i w:val="0"/>
                <w:sz w:val="17"/>
              </w:rPr>
              <w:t>Licence en Biologie Médicale — diplôme national</w:t>
            </w:r>
          </w:p>
        </w:tc>
        <w:tc>
          <w:tcPr>
            <w:tcW w:type="dxa" w:w="3437"/>
          </w:tcPr>
          <w:p>
            <w:r/>
            <w:r>
              <w:rPr>
                <w:b w:val="0"/>
                <w:i w:val="0"/>
                <w:sz w:val="17"/>
              </w:rPr>
              <w:t>IRGIB-AFRICA, Cotonou</w:t>
            </w:r>
          </w:p>
        </w:tc>
        <w:tc>
          <w:tcPr>
            <w:tcW w:type="dxa" w:w="3437"/>
          </w:tcPr>
          <w:p>
            <w:r/>
            <w:r>
              <w:rPr>
                <w:b w:val="0"/>
                <w:i w:val="0"/>
                <w:sz w:val="17"/>
              </w:rPr>
              <w:t>2020 – 2023</w:t>
            </w:r>
          </w:p>
        </w:tc>
      </w:tr>
      <w:tr>
        <w:tc>
          <w:tcPr>
            <w:tcW w:type="dxa" w:w="3437"/>
          </w:tcPr>
          <w:p>
            <w:r/>
            <w:r>
              <w:rPr>
                <w:b w:val="0"/>
                <w:i w:val="0"/>
                <w:sz w:val="17"/>
              </w:rPr>
              <w:t>Formation en Graphisme</w:t>
            </w:r>
          </w:p>
        </w:tc>
        <w:tc>
          <w:tcPr>
            <w:tcW w:type="dxa" w:w="3437"/>
          </w:tcPr>
          <w:p>
            <w:r/>
            <w:r>
              <w:rPr>
                <w:b w:val="0"/>
                <w:i w:val="0"/>
                <w:sz w:val="17"/>
              </w:rPr>
              <w:t>EIGB, Cotonou</w:t>
            </w:r>
          </w:p>
        </w:tc>
        <w:tc>
          <w:tcPr>
            <w:tcW w:type="dxa" w:w="3437"/>
          </w:tcPr>
          <w:p>
            <w:r/>
            <w:r>
              <w:rPr>
                <w:b w:val="0"/>
                <w:i w:val="0"/>
                <w:sz w:val="17"/>
              </w:rPr>
              <w:t>2019 – 2020</w:t>
            </w:r>
          </w:p>
        </w:tc>
      </w:tr>
      <w:tr>
        <w:tc>
          <w:tcPr>
            <w:tcW w:type="dxa" w:w="3437"/>
          </w:tcPr>
          <w:p>
            <w:r/>
            <w:r>
              <w:rPr>
                <w:b w:val="0"/>
                <w:i w:val="0"/>
                <w:sz w:val="17"/>
              </w:rPr>
              <w:t>Certification « Microbiologie basic » (OMS)</w:t>
            </w:r>
          </w:p>
        </w:tc>
        <w:tc>
          <w:tcPr>
            <w:tcW w:type="dxa" w:w="3437"/>
          </w:tcPr>
          <w:p>
            <w:r/>
            <w:r>
              <w:rPr>
                <w:b w:val="0"/>
                <w:i w:val="0"/>
                <w:sz w:val="17"/>
              </w:rPr>
              <w:t>URMAPHA</w:t>
            </w:r>
          </w:p>
        </w:tc>
        <w:tc>
          <w:tcPr>
            <w:tcW w:type="dxa" w:w="3437"/>
          </w:tcPr>
          <w:p>
            <w:r/>
            <w:r>
              <w:rPr>
                <w:b w:val="0"/>
                <w:i w:val="0"/>
                <w:sz w:val="17"/>
              </w:rPr>
              <w:t>2023 – 2024</w:t>
            </w:r>
          </w:p>
        </w:tc>
      </w:tr>
      <w:tr>
        <w:tc>
          <w:tcPr>
            <w:tcW w:type="dxa" w:w="3437"/>
          </w:tcPr>
          <w:p>
            <w:r/>
            <w:r>
              <w:rPr>
                <w:b w:val="0"/>
                <w:i w:val="0"/>
                <w:sz w:val="17"/>
              </w:rPr>
              <w:t>Baccalauréat série D</w:t>
            </w:r>
          </w:p>
        </w:tc>
        <w:tc>
          <w:tcPr>
            <w:tcW w:type="dxa" w:w="3437"/>
          </w:tcPr>
          <w:p>
            <w:r/>
            <w:r>
              <w:rPr>
                <w:b w:val="0"/>
                <w:i w:val="0"/>
                <w:sz w:val="17"/>
              </w:rPr>
              <w:t>Collège Catholique Saint-Augustin</w:t>
            </w:r>
          </w:p>
        </w:tc>
        <w:tc>
          <w:tcPr>
            <w:tcW w:type="dxa" w:w="3437"/>
          </w:tcPr>
          <w:p>
            <w:r/>
            <w:r>
              <w:rPr>
                <w:b w:val="0"/>
                <w:i w:val="0"/>
                <w:sz w:val="17"/>
              </w:rPr>
              <w:t>2019</w:t>
            </w:r>
          </w:p>
        </w:tc>
      </w:tr>
    </w:tbl>
    <w:p/>
    <w:p>
      <w:pPr>
        <w:pBdr>
          <w:bottom w:val="single" w:sz="4" w:space="2" w:color="BBBBBB"/>
        </w:pBdr>
        <w:spacing w:before="40" w:after="80"/>
      </w:pPr>
    </w:p>
    <w:p>
      <w:pPr>
        <w:spacing w:before="180" w:after="60"/>
        <w:pBdr>
          <w:bottom w:val="single" w:sz="6" w:space="2" w:color="1F3B57"/>
        </w:pBdr>
      </w:pPr>
      <w:r>
        <w:rPr>
          <w:b/>
          <w:color w:val="1F3B57"/>
          <w:sz w:val="21"/>
        </w:rPr>
        <w:t>COMPÉTENCES</w:t>
      </w:r>
    </w:p>
    <w:p>
      <w:pPr>
        <w:jc w:val="left"/>
      </w:pPr>
      <w:r>
        <w:rPr>
          <w:b/>
          <w:i w:val="0"/>
        </w:rPr>
        <w:t>Communication et production de contenus</w:t>
      </w:r>
    </w:p>
    <w:p>
      <w:pPr>
        <w:jc w:val="left"/>
      </w:pPr>
      <w:r>
        <w:rPr>
          <w:b w:val="0"/>
          <w:i w:val="0"/>
        </w:rPr>
        <w:t>Conception de supports d'éducation et de sensibilisation en santé · Communication scientifique et présentation de résultats · Rédaction de rapports, comptes rendus et documents techniques · Conception de présentations professionnelles · Mise en forme avancée de documents</w:t>
      </w:r>
    </w:p>
    <w:p>
      <w:pPr>
        <w:jc w:val="left"/>
      </w:pPr>
      <w:r>
        <w:rPr>
          <w:b/>
          <w:i w:val="0"/>
        </w:rPr>
        <w:t>Nutrition et santé publique</w:t>
      </w:r>
    </w:p>
    <w:p>
      <w:pPr>
        <w:jc w:val="left"/>
      </w:pPr>
      <w:r>
        <w:rPr>
          <w:b w:val="0"/>
          <w:i w:val="0"/>
        </w:rPr>
        <w:t>Nutrition et santé des populations · Éducation nutritionnelle · Santé communautaire · Épidémiologie appliquée · Suivi-évaluation des programmes de santé · Analyse de situation sanitaire et priorisation</w:t>
      </w:r>
    </w:p>
    <w:p>
      <w:pPr>
        <w:jc w:val="left"/>
      </w:pPr>
      <w:r>
        <w:rPr>
          <w:b/>
          <w:i w:val="0"/>
        </w:rPr>
        <w:t>Données et enquêtes</w:t>
      </w:r>
    </w:p>
    <w:p>
      <w:pPr>
        <w:jc w:val="left"/>
      </w:pPr>
      <w:r>
        <w:rPr>
          <w:b w:val="0"/>
          <w:i w:val="0"/>
        </w:rPr>
        <w:t>Conception et conduite d'enquêtes de terrain · Élaboration de questionnaires et d'outils de collecte · Collecte, gestion et contrôle qualité des données · Analyse statistique et interprétation des résultats</w:t>
      </w:r>
    </w:p>
    <w:p>
      <w:pPr>
        <w:jc w:val="left"/>
      </w:pPr>
      <w:r>
        <w:rPr>
          <w:b/>
          <w:i w:val="0"/>
        </w:rPr>
        <w:t>Outils</w:t>
      </w:r>
    </w:p>
    <w:p>
      <w:pPr>
        <w:jc w:val="left"/>
      </w:pPr>
      <w:r>
        <w:rPr>
          <w:b w:val="0"/>
          <w:i w:val="0"/>
        </w:rPr>
        <w:t>Canva (affiches, posters, supports de communication) · Microsoft Word (rédaction et mise en forme avancée) · Microsoft PowerPoint · Microsoft Excel · KoboCollect (formulaires et collecte électronique) · Epi Info · Stata</w:t>
      </w:r>
    </w:p>
    <w:p>
      <w:pPr>
        <w:jc w:val="left"/>
      </w:pPr>
      <w:r>
        <w:rPr>
          <w:b/>
          <w:i w:val="0"/>
        </w:rPr>
        <w:t>Langues</w:t>
      </w:r>
    </w:p>
    <w:p>
      <w:pPr>
        <w:jc w:val="left"/>
      </w:pPr>
      <w:r>
        <w:rPr>
          <w:b w:val="0"/>
          <w:i w:val="0"/>
        </w:rPr>
        <w:t>Français — courant (oral et écrit) · Anglais — intermédiaire (lecture de documents scientifiques, expression écrite et orale) · Fon et mina — notions</w:t>
      </w:r>
    </w:p>
    <w:p>
      <w:pPr>
        <w:jc w:val="left"/>
      </w:pPr>
      <w:r>
        <w:rPr>
          <w:b/>
          <w:i w:val="0"/>
        </w:rPr>
        <w:t>Autres</w:t>
      </w:r>
    </w:p>
    <w:p>
      <w:pPr>
        <w:jc w:val="left"/>
      </w:pPr>
      <w:r>
        <w:rPr>
          <w:b w:val="0"/>
          <w:i w:val="0"/>
        </w:rPr>
        <w:t>Permis B</w:t>
      </w:r>
    </w:p>
    <w:p>
      <w:pPr>
        <w:pBdr>
          <w:bottom w:val="single" w:sz="4" w:space="2" w:color="BBBBBB"/>
        </w:pBdr>
        <w:spacing w:before="40" w:after="80"/>
      </w:pPr>
    </w:p>
    <w:p>
      <w:pPr>
        <w:spacing w:before="180" w:after="60"/>
        <w:pBdr>
          <w:bottom w:val="single" w:sz="6" w:space="2" w:color="1F3B57"/>
        </w:pBdr>
      </w:pPr>
      <w:r>
        <w:rPr>
          <w:b/>
          <w:color w:val="1F3B57"/>
          <w:sz w:val="21"/>
        </w:rPr>
        <w:t>RÉFÉRENCES</w:t>
      </w:r>
    </w:p>
    <w:p>
      <w:pPr>
        <w:jc w:val="left"/>
      </w:pPr>
      <w:r>
        <w:rPr>
          <w:b/>
          <w:i w:val="0"/>
        </w:rPr>
        <w:t>Dr Brice Boris LEGBA</w:t>
      </w:r>
      <w:r>
        <w:rPr>
          <w:b w:val="0"/>
          <w:i w:val="0"/>
        </w:rPr>
        <w:t>, PhD — Chercheur en microbiologie, URMAPha, École Polytechnique d'Abomey-Calavi, Université d'Abomey-Calavi</w:t>
      </w:r>
    </w:p>
    <w:p>
      <w:pPr>
        <w:jc w:val="left"/>
      </w:pPr>
      <w:r>
        <w:rPr>
          <w:b w:val="0"/>
          <w:i w:val="0"/>
        </w:rPr>
        <w:t>legba.brice@gmail.com · +229 66 01 09 41</w:t>
      </w:r>
    </w:p>
    <w:p>
      <w:pPr>
        <w:jc w:val="left"/>
      </w:pPr>
      <w:r>
        <w:rPr>
          <w:b/>
          <w:i w:val="0"/>
        </w:rPr>
        <w:t>Pr. Colette AZANDJEME</w:t>
      </w:r>
      <w:r>
        <w:rPr>
          <w:b w:val="0"/>
          <w:i w:val="0"/>
        </w:rPr>
        <w:t>, MD — Médecin, Maître de Conférences Agrégée en Santé Publique, IRSP-CAQ, Université d'Abomey-Calavi</w:t>
      </w:r>
    </w:p>
    <w:p>
      <w:pPr>
        <w:pBdr>
          <w:bottom w:val="single" w:sz="4" w:space="2" w:color="BBBBBB"/>
        </w:pBdr>
        <w:spacing w:before="40" w:after="80"/>
      </w:pPr>
    </w:p>
    <w:p>
      <w:pPr>
        <w:jc w:val="left"/>
      </w:pPr>
      <w:r>
        <w:rPr>
          <w:b w:val="0"/>
          <w:i/>
        </w:rPr>
        <w:t>CV adapté au poste de Communication Assistant G5 — PAM Bénin, Cotonou. Toutes les expériences, diplômes et compétences cités sont conformes au parcours réel ; aucune expérience professionnelle salariée n'est revendiquée.</w:t>
      </w:r>
    </w:p>
    <w:sectPr w:rsidR="00FC693F" w:rsidRPr="0006063C" w:rsidSect="00034616">
      <w:pgSz w:w="12240" w:h="15840"/>
      <w:pgMar w:top="850" w:right="964" w:bottom="79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52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