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6B5F"/>
          <w:sz w:val="40"/>
        </w:rPr>
        <w:t>QUÉBEC 2028-2029 — PROSPECTION DES PROFESSEURS ET DOSSIER PBEEE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Le second rideau, sans IELTS, grâce à la dispense de test de français</w:t>
      </w:r>
    </w:p>
    <w:p>
      <w:r>
        <w:rPr>
          <w:b/>
        </w:rPr>
        <w:t>Pour :</w:t>
      </w:r>
      <w:r>
        <w:t xml:space="preserve"> Marie-Edith GNACADJA · </w:t>
      </w:r>
      <w:r>
        <w:rPr>
          <w:b/>
        </w:rPr>
        <w:t>Objectif :</w:t>
      </w:r>
      <w:r>
        <w:t xml:space="preserve"> une maîtrise de recherche en nutrition / santé publique mondiale au Québec, </w:t>
      </w:r>
      <w:r>
        <w:rPr>
          <w:b/>
        </w:rPr>
        <w:t>financée par le PBEEE</w:t>
      </w:r>
      <w:r>
        <w:t xml:space="preserve"> </w:t>
      </w:r>
      <w:r>
        <w:rPr>
          <w:b/>
        </w:rPr>
        <w:t>Quand commencer :</w:t>
      </w:r>
      <w:r>
        <w:t xml:space="preserve"> </w:t>
      </w:r>
      <w:r>
        <w:rPr>
          <w:b/>
        </w:rPr>
        <w:t>juillet 2027</w:t>
      </w:r>
      <w:r>
        <w:t xml:space="preserve"> (mais les premiers contacts se prennent maintenant)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1. POURQUOI CETTE VOIE EST FAISABLE SANS IELTS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Exigence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Votre situation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Test de français (TFI, TCF)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Non requis</w:t>
            </w:r>
            <w:r>
              <w:rPr>
                <w:sz w:val="19"/>
              </w:rPr>
              <w:t xml:space="preserve"> : un </w:t>
            </w:r>
            <w:r>
              <w:rPr>
                <w:b/>
                <w:sz w:val="19"/>
              </w:rPr>
              <w:t>grade universitaire délivré par un établissement de langue française</w:t>
            </w:r>
            <w:r>
              <w:rPr>
                <w:sz w:val="19"/>
              </w:rPr>
              <w:t xml:space="preserve"> dispense du test (règle explicite de l'Université Laval, et logique identique à Montréal, Sherbrooke, UQTR, UQAC). Votre licence + master de l'UAC suffisent.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Test d'anglais (IELTS/TOEFL)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Non exigé à l'admission</w:t>
            </w:r>
            <w:r>
              <w:rPr>
                <w:sz w:val="19"/>
              </w:rPr>
              <w:t xml:space="preserve"> dans la plupart des programmes francophones. ⚠️ Mais </w:t>
            </w:r>
            <w:r>
              <w:rPr>
                <w:b/>
                <w:sz w:val="19"/>
              </w:rPr>
              <w:t>l'anglais est indispensable pour lire la littérature</w:t>
            </w:r>
            <w:r>
              <w:rPr>
                <w:sz w:val="19"/>
              </w:rPr>
              <w:t xml:space="preserve"> : annoncez-le comme un axe de progression, jamais comme un blocage.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Diplôme requis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Master en nutrition ou domaine connexe ✔ + </w:t>
            </w:r>
            <w:r>
              <w:rPr>
                <w:b/>
                <w:sz w:val="19"/>
              </w:rPr>
              <w:t>moyenne ≥ 3,00/4,33</w:t>
            </w:r>
            <w:r>
              <w:rPr>
                <w:sz w:val="19"/>
              </w:rPr>
              <w:t xml:space="preserve"> (≈ 13-14/20) à Laval. Vérifiez votre moyenne officielle.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 qui décide vraiment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Un professeur qui vous accepte</w:t>
            </w:r>
            <w:r>
              <w:rPr>
                <w:sz w:val="19"/>
              </w:rPr>
              <w:t xml:space="preserve"> + une </w:t>
            </w:r>
            <w:r>
              <w:rPr>
                <w:b/>
                <w:sz w:val="19"/>
              </w:rPr>
              <w:t>confirmation écrite</w:t>
            </w:r>
            <w:r>
              <w:rPr>
                <w:sz w:val="19"/>
              </w:rPr>
              <w:t xml:space="preserve"> de direction de recherche jointe au dossier. C'est du travail de prospection, pas de test de langue.</w:t>
            </w:r>
          </w:p>
        </w:tc>
      </w:tr>
    </w:tbl>
    <w:p>
      <w:pPr>
        <w:spacing w:after="0"/>
      </w:pPr>
    </w:p>
    <w:p>
      <w:r>
        <w:rPr>
          <w:b/>
        </w:rPr>
        <w:t>La bourse :</w:t>
      </w:r>
      <w:r>
        <w:t xml:space="preserve"> </w:t>
      </w:r>
      <w:r>
        <w:rPr>
          <w:b/>
        </w:rPr>
        <w:t>PBEEE</w:t>
      </w:r>
      <w:r>
        <w:t xml:space="preserve"> (Fonds de recherche du Québec) — </w:t>
      </w:r>
      <w:r>
        <w:rPr>
          <w:b/>
        </w:rPr>
        <w:t>maîtrise de recherche : 20 000 $ CA/an, 2 ans max (40 000 $)</w:t>
      </w:r>
      <w:r>
        <w:t xml:space="preserve">, </w:t>
      </w:r>
      <w:r>
        <w:rPr>
          <w:b/>
        </w:rPr>
        <w:t>+ exemption des droits de scolarité majorés</w:t>
      </w:r>
      <w:r>
        <w:t xml:space="preserve"> (les frais « internationaux ») </w:t>
      </w:r>
      <w:r>
        <w:rPr>
          <w:b/>
        </w:rPr>
        <w:t>+ couverture RAMQ</w:t>
      </w:r>
      <w:r>
        <w:t xml:space="preserve">. </w:t>
      </w:r>
      <w:r>
        <w:rPr>
          <w:b/>
        </w:rPr>
        <w:t>Calendrier type :</w:t>
      </w:r>
      <w:r>
        <w:t xml:space="preserve"> lancement </w:t>
      </w:r>
      <w:r>
        <w:rPr>
          <w:b/>
        </w:rPr>
        <w:t>juillet</w:t>
      </w:r>
      <w:r>
        <w:t xml:space="preserve">, dates internes des universités </w:t>
      </w:r>
      <w:r>
        <w:rPr>
          <w:b/>
        </w:rPr>
        <w:t>septembre-octobre</w:t>
      </w:r>
      <w:r>
        <w:t xml:space="preserve">, dépôt au FRQ </w:t>
      </w:r>
      <w:r>
        <w:rPr>
          <w:b/>
        </w:rPr>
        <w:t>début décembre</w:t>
      </w:r>
      <w:r>
        <w:t xml:space="preserve">, entrée en vigueur entre </w:t>
      </w:r>
      <w:r>
        <w:rPr>
          <w:b/>
        </w:rPr>
        <w:t>mai et janvier</w:t>
      </w:r>
      <w:r>
        <w:t>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2. VOS 5 CIBLES (vérifiées sur les pages officielles)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Vérifiez </w:t>
      </w:r>
      <w:r>
        <w:rPr>
          <w:b/>
          <w:sz w:val="20"/>
        </w:rPr>
        <w:t>sur la page du laboratoire</w:t>
      </w:r>
      <w:r>
        <w:rPr>
          <w:sz w:val="20"/>
        </w:rPr>
        <w:t xml:space="preserve"> que le professeur recrute encore des étudiants et que ses travaux n'ont pas changé de thème. Les noms ci-dessous sont publics et leurs axes de recherche sont documentés ; l'adresse e-mail doit être reprise </w:t>
      </w:r>
      <w:r>
        <w:rPr>
          <w:b/>
          <w:sz w:val="20"/>
        </w:rPr>
        <w:t>depuis la page officielle de l'université</w:t>
      </w:r>
      <w:r>
        <w:rPr>
          <w:sz w:val="20"/>
        </w:rPr>
        <w:t>, jamais recopiée d'un site tiers.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🎯 CIBLE 1 — </w:t>
      </w:r>
      <w:r>
        <w:rPr>
          <w:b/>
          <w:color w:val="0B6B5F"/>
          <w:sz w:val="23"/>
        </w:rPr>
        <w:t>TRANSNUT / Université de Montréal</w:t>
      </w:r>
      <w:r>
        <w:rPr>
          <w:b/>
          <w:color w:val="0B6B5F"/>
          <w:sz w:val="23"/>
        </w:rPr>
        <w:t xml:space="preserve"> (la meilleure cible de toute la liste)</w:t>
      </w:r>
    </w:p>
    <w:p>
      <w:r>
        <w:rPr>
          <w:b/>
        </w:rPr>
        <w:t>Centre collaborateur de l'OMS sur la transition nutritionnelle et le développement.</w:t>
      </w:r>
    </w:p>
    <w:p>
      <w:pPr>
        <w:pStyle w:val="ListBullet"/>
        <w:spacing w:after="40"/>
        <w:ind w:left="425"/>
      </w:pPr>
      <w:r>
        <w:t xml:space="preserve">Axes : </w:t>
      </w:r>
      <w:r>
        <w:rPr>
          <w:b/>
        </w:rPr>
        <w:t>nutrition internationale</w:t>
      </w:r>
      <w:r>
        <w:t xml:space="preserve">, </w:t>
      </w:r>
      <w:r>
        <w:rPr>
          <w:b/>
        </w:rPr>
        <w:t>sécurité alimentaire</w:t>
      </w:r>
      <w:r>
        <w:t>, systèmes alimentaires, transition nutritionnelle, inégalités en nutrition et santé</w:t>
      </w:r>
    </w:p>
    <w:p>
      <w:pPr>
        <w:pStyle w:val="ListBullet"/>
        <w:spacing w:after="40"/>
        <w:ind w:left="425"/>
      </w:pPr>
      <w:r>
        <w:t xml:space="preserve">Chercheurs clés (page officielle de TRANSNUT) : </w:t>
      </w:r>
      <w:r>
        <w:rPr>
          <w:b/>
        </w:rPr>
        <w:t>Malek Batal</w:t>
      </w:r>
      <w:r>
        <w:t xml:space="preserve"> (directeur, titulaire de la Chaire de recherche du Canada sur les inégalités en nutrition et santé, CReSP) · </w:t>
      </w:r>
      <w:r>
        <w:rPr>
          <w:b/>
        </w:rPr>
        <w:t>Hélène Delisle</w:t>
      </w:r>
      <w:r>
        <w:t xml:space="preserve"> (fondatrice, professeure émérite, nutrition internationale) · </w:t>
      </w:r>
      <w:r>
        <w:rPr>
          <w:b/>
        </w:rPr>
        <w:t>Geneviève Mercille</w:t>
      </w:r>
      <w:r>
        <w:t xml:space="preserve"> (insécurité alimentaire, </w:t>
      </w:r>
      <w:r>
        <w:rPr>
          <w:b/>
        </w:rPr>
        <w:t>recherche interventionnelle en santé des populations</w:t>
      </w:r>
      <w:r>
        <w:t xml:space="preserve">, méthodes mixtes, recherche participative) · </w:t>
      </w:r>
      <w:r>
        <w:rPr>
          <w:b/>
        </w:rPr>
        <w:t>Rosanne Blanchet</w:t>
      </w:r>
      <w:r>
        <w:t xml:space="preserve"> (environnements alimentaires, sécurité alimentaire) · </w:t>
      </w:r>
      <w:r>
        <w:rPr>
          <w:b/>
        </w:rPr>
        <w:t>Kate Zinszer</w:t>
      </w:r>
      <w:r>
        <w:t xml:space="preserve"> (épidémiologie, </w:t>
      </w:r>
      <w:r>
        <w:rPr>
          <w:b/>
        </w:rPr>
        <w:t>santé mondiale, évaluation d'impact</w:t>
      </w:r>
      <w:r>
        <w:t xml:space="preserve">) · </w:t>
      </w:r>
      <w:r>
        <w:rPr>
          <w:b/>
        </w:rPr>
        <w:t>Thomas Druetz</w:t>
      </w:r>
      <w:r>
        <w:t xml:space="preserve"> (santé mondiale, </w:t>
      </w:r>
      <w:r>
        <w:rPr>
          <w:b/>
        </w:rPr>
        <w:t>évaluation d'impact des politiques de santé</w:t>
      </w:r>
      <w:r>
        <w:t>)</w:t>
      </w:r>
    </w:p>
    <w:p>
      <w:pPr>
        <w:pStyle w:val="ListBullet"/>
        <w:spacing w:after="40"/>
        <w:ind w:left="425"/>
      </w:pPr>
      <w:r>
        <w:rPr>
          <w:b/>
        </w:rPr>
        <w:t>Pourquoi c'est votre cible n°1 :</w:t>
      </w:r>
      <w:r>
        <w:t xml:space="preserve"> ce laboratoire publie précisément sur ce que vous faites. Exemple à citer dans votre mail : l'évaluation d'une </w:t>
      </w:r>
      <w:r>
        <w:rPr>
          <w:b/>
        </w:rPr>
        <w:t>initiative « École amie de la nutrition » à Ouagadougou</w:t>
      </w:r>
      <w:r>
        <w:t xml:space="preserve"> (Edde, Delisle, Daboné, Batal) — un dispositif scolaire, anthropométrique et biochimique, exactement dans votre champ (nutrition, école, Afrique de l'Ouest).</w:t>
      </w:r>
    </w:p>
    <w:p>
      <w:pPr>
        <w:pStyle w:val="ListBullet"/>
        <w:spacing w:after="40"/>
        <w:ind w:left="425"/>
      </w:pPr>
      <w:r>
        <w:rPr>
          <w:b/>
        </w:rPr>
        <w:t>Votre angle d'attaque :</w:t>
      </w:r>
      <w:r>
        <w:t xml:space="preserve"> </w:t>
      </w:r>
      <w:r>
        <w:rPr>
          <w:i/>
        </w:rPr>
        <w:t>« j'apporte un terrain d'accès béninois et des données de district ; je viens chercher la méthode d'évaluation ».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🎯 CIBLE 2 — </w:t>
      </w:r>
      <w:r>
        <w:rPr>
          <w:b/>
          <w:color w:val="0B6B5F"/>
          <w:sz w:val="23"/>
        </w:rPr>
        <w:t>CReSP — Centre de recherche en santé publique</w:t>
      </w:r>
      <w:r>
        <w:rPr>
          <w:b/>
          <w:color w:val="0B6B5F"/>
          <w:sz w:val="23"/>
        </w:rPr>
        <w:t xml:space="preserve"> (Montréal, UdeM + CIUSSS)</w:t>
      </w:r>
    </w:p>
    <w:p>
      <w:pPr>
        <w:pStyle w:val="ListBullet"/>
        <w:spacing w:after="40"/>
        <w:ind w:left="425"/>
      </w:pPr>
      <w:r>
        <w:t xml:space="preserve">Axe </w:t>
      </w:r>
      <w:r>
        <w:rPr>
          <w:b/>
        </w:rPr>
        <w:t>« Une seule santé du monde »</w:t>
      </w:r>
      <w:r>
        <w:t xml:space="preserve"> (One Health), santé mondiale, évaluation d'impact</w:t>
      </w:r>
    </w:p>
    <w:p>
      <w:pPr>
        <w:pStyle w:val="ListBullet"/>
        <w:spacing w:after="40"/>
        <w:ind w:left="425"/>
      </w:pPr>
      <w:r>
        <w:t xml:space="preserve">Intérêt : un centre </w:t>
      </w:r>
      <w:r>
        <w:rPr>
          <w:b/>
        </w:rPr>
        <w:t>inter-facultés</w:t>
      </w:r>
      <w:r>
        <w:t xml:space="preserve"> — vous pouvez y entrer par la nutrition </w:t>
      </w:r>
      <w:r>
        <w:rPr>
          <w:b/>
        </w:rPr>
        <w:t>ou</w:t>
      </w:r>
      <w:r>
        <w:t xml:space="preserve"> par la santé publique</w:t>
      </w:r>
    </w:p>
    <w:p>
      <w:pPr>
        <w:pStyle w:val="ListBullet"/>
        <w:spacing w:after="40"/>
        <w:ind w:left="425"/>
      </w:pPr>
      <w:r>
        <w:t xml:space="preserve">Chercheurs à identifier : section « membres » du CReSP, filtrer par mots-clés </w:t>
      </w:r>
      <w:r>
        <w:rPr>
          <w:i/>
        </w:rPr>
        <w:t>nutrition, sécurité alimentaire, santé mondiale, Afrique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🎯 CIBLE 3 — </w:t>
      </w:r>
      <w:r>
        <w:rPr>
          <w:b/>
          <w:color w:val="0B6B5F"/>
          <w:sz w:val="23"/>
        </w:rPr>
        <w:t>INAF / Centre NUTRISS — Université Laval</w:t>
      </w:r>
    </w:p>
    <w:p>
      <w:pPr>
        <w:pStyle w:val="ListBullet"/>
        <w:spacing w:after="40"/>
        <w:ind w:left="425"/>
      </w:pPr>
      <w:r>
        <w:rPr>
          <w:b/>
        </w:rPr>
        <w:t>INAF</w:t>
      </w:r>
      <w:r>
        <w:t xml:space="preserve"> : plus important regroupement canadien sur nutrition-aliments-santé ; axes </w:t>
      </w:r>
      <w:r>
        <w:rPr>
          <w:i/>
        </w:rPr>
        <w:t>nutrition et société</w:t>
      </w:r>
      <w:r>
        <w:t xml:space="preserve">, </w:t>
      </w:r>
      <w:r>
        <w:rPr>
          <w:i/>
        </w:rPr>
        <w:t>adoption de saines habitudes alimentaires</w:t>
      </w:r>
      <w:r>
        <w:t>, innocuité alimentaire</w:t>
      </w:r>
    </w:p>
    <w:p>
      <w:pPr>
        <w:pStyle w:val="ListBullet"/>
        <w:spacing w:after="40"/>
        <w:ind w:left="425"/>
      </w:pPr>
      <w:r>
        <w:rPr>
          <w:b/>
        </w:rPr>
        <w:t>NUTRISS</w:t>
      </w:r>
      <w:r>
        <w:t xml:space="preserve"> (Centre nutrition, santé et société) : programmation en </w:t>
      </w:r>
      <w:r>
        <w:rPr>
          <w:b/>
        </w:rPr>
        <w:t>nutrition et société</w:t>
      </w:r>
      <w:r>
        <w:t xml:space="preserve">, </w:t>
      </w:r>
      <w:r>
        <w:rPr>
          <w:b/>
        </w:rPr>
        <w:t>comportements alimentaires</w:t>
      </w:r>
      <w:r>
        <w:t>, plateforme numérique de recherche en nutrition (données massives, géomatique, IA)</w:t>
      </w:r>
    </w:p>
    <w:p>
      <w:pPr>
        <w:pStyle w:val="ListBullet"/>
        <w:spacing w:after="40"/>
        <w:ind w:left="425"/>
      </w:pPr>
      <w:r>
        <w:rPr>
          <w:b/>
        </w:rPr>
        <w:t>Pourquoi :</w:t>
      </w:r>
      <w:r>
        <w:t xml:space="preserve"> c'est le lieu au Québec pour la </w:t>
      </w:r>
      <w:r>
        <w:rPr>
          <w:b/>
        </w:rPr>
        <w:t>nutrition de population</w:t>
      </w:r>
      <w:r>
        <w:t xml:space="preserve"> avec des outils de données — et votre profil DHIS2/Stata/Kobo y parle directement.</w:t>
      </w:r>
    </w:p>
    <w:p>
      <w:pPr>
        <w:pStyle w:val="ListBullet"/>
        <w:spacing w:after="40"/>
        <w:ind w:left="425"/>
      </w:pPr>
      <w:r>
        <w:t xml:space="preserve">⚠️ Note : l'INAF est très orienté biomoléculaire/industriel. </w:t>
      </w:r>
      <w:r>
        <w:rPr>
          <w:b/>
        </w:rPr>
        <w:t>Ciblez explicitement les chercheurs de l'axe « nutrition et société »</w:t>
      </w:r>
      <w:r>
        <w:t>, pas les axes aliments fonctionnels.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🎯 CIBLE 4 — </w:t>
      </w:r>
      <w:r>
        <w:rPr>
          <w:b/>
          <w:color w:val="0B6B5F"/>
          <w:sz w:val="23"/>
        </w:rPr>
        <w:t>Université de Sherbrooke / UQTR / UQAC / UQO</w:t>
      </w:r>
    </w:p>
    <w:p>
      <w:pPr>
        <w:pStyle w:val="ListBullet"/>
        <w:spacing w:after="40"/>
        <w:ind w:left="425"/>
      </w:pPr>
      <w:r>
        <w:t xml:space="preserve">Programmes de </w:t>
      </w:r>
      <w:r>
        <w:rPr>
          <w:b/>
        </w:rPr>
        <w:t>santé publique, sciences de la santé, épidémiologie appliquée</w:t>
      </w:r>
    </w:p>
    <w:p>
      <w:pPr>
        <w:pStyle w:val="ListBullet"/>
        <w:spacing w:after="40"/>
        <w:ind w:left="425"/>
      </w:pPr>
      <w:r>
        <w:rPr>
          <w:b/>
        </w:rPr>
        <w:t>Pourquoi :</w:t>
      </w:r>
      <w:r>
        <w:t xml:space="preserve"> les </w:t>
      </w:r>
      <w:r>
        <w:rPr>
          <w:b/>
        </w:rPr>
        <w:t>quotas PBEEE y sont souvent moins disputés</w:t>
      </w:r>
      <w:r>
        <w:t xml:space="preserve"> que dans les grands centres, et l'encadrement y est plus disponible. C'est votre </w:t>
      </w:r>
      <w:r>
        <w:rPr>
          <w:b/>
        </w:rPr>
        <w:t>meilleure probabilité d'acceptation</w:t>
      </w:r>
      <w:r>
        <w:t>, pas votre meilleure probabilité de prestige.</w:t>
      </w:r>
    </w:p>
    <w:p>
      <w:pPr>
        <w:pStyle w:val="ListBullet"/>
        <w:spacing w:after="40"/>
        <w:ind w:left="425"/>
      </w:pPr>
      <w:r>
        <w:t>Stratégie : identifiez 1 professeur par université dont 2-3 publications portent sur l'Afrique subsaharienne ou la nutrition mondiale.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🎯 CIBLE 5 — </w:t>
      </w:r>
      <w:r>
        <w:rPr>
          <w:b/>
          <w:color w:val="0B6B5F"/>
          <w:sz w:val="23"/>
        </w:rPr>
        <w:t>Université McGill</w:t>
      </w:r>
      <w:r>
        <w:rPr>
          <w:b/>
          <w:color w:val="0B6B5F"/>
          <w:sz w:val="23"/>
        </w:rPr>
        <w:t xml:space="preserve"> (si vous acceptez l'anglais)</w:t>
      </w:r>
    </w:p>
    <w:p>
      <w:pPr>
        <w:pStyle w:val="ListBullet"/>
        <w:spacing w:after="40"/>
        <w:ind w:left="425"/>
      </w:pPr>
      <w:r>
        <w:t>MSc Public Health / Nutrition, bourses propres, réseau international</w:t>
      </w:r>
    </w:p>
    <w:p>
      <w:pPr>
        <w:pStyle w:val="ListBullet"/>
        <w:spacing w:after="40"/>
        <w:ind w:left="425"/>
      </w:pPr>
      <w:r>
        <w:t xml:space="preserve">⚠️ Fonctionnement </w:t>
      </w:r>
      <w:r>
        <w:rPr>
          <w:b/>
        </w:rPr>
        <w:t>anglophone</w:t>
      </w:r>
      <w:r>
        <w:t xml:space="preserve"> : à ne tenter que si vous engagez un vrai travail d'anglais en 2027.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3. COMMENT LIRE UN LABORATOIRE EN 20 MINUTES (avant d'écrire)</w:t>
      </w:r>
    </w:p>
    <w:p>
      <w:r>
        <w:t>Pour chaque professeur, notez dans un tableau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À vérifier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Où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Pourquoi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Sujet </w:t>
            </w:r>
            <w:r>
              <w:rPr>
                <w:b/>
                <w:sz w:val="19"/>
              </w:rPr>
              <w:t>actuel</w:t>
            </w:r>
            <w:r>
              <w:rPr>
                <w:sz w:val="19"/>
              </w:rPr>
              <w:t xml:space="preserve"> (12 derniers mois)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Page du labo + Google Scholar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Un mail qui cite un article de 2019 vous fait passer pour un robot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Recrute-t-il ?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Rubrique « Étudiants recherchés / Join us / Prospective students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Perdre 3 mails sur un prof saturé, c'est 3 semaines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Financement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Projets listés (CRDI, IRSC, FRQ, chaires)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Un projet financé = un poste d'étudiant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Terrain africain ?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Publications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Un prof qui travaille déjà en Afrique de l'Ouest vous lira avec intérêt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Langue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Page en français/anglais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Écrivez dans la langue de la page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Exigences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Admissibilité » du programme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Moyenne minimale, diplôme requis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4. LE MAIL QUI OBTIENT UNE RÉPONSE (250 mots maximum)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Objet :</w:t>
      </w:r>
      <w:r>
        <w:rPr>
          <w:sz w:val="20"/>
        </w:rPr>
        <w:t xml:space="preserve"> Candidate béninoise — master en nutrition et santé des populations — recherche d'une direction de recherche (financement PBEEE 2028-2029)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Madame, Monsieur, Professeur [Nom],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me permets de vous écrire après avoir lu [titre exact d'un article récent, année]. Ce qui m'intéresse particulièrement, c'est [une phrase précise sur ce que fait l'article, pas une flatterie].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suis ingénieure en biologie médicale et titulaire d'un </w:t>
      </w:r>
      <w:r>
        <w:rPr>
          <w:b/>
          <w:sz w:val="20"/>
        </w:rPr>
        <w:t>master en nutrition et santé des populations</w:t>
      </w:r>
      <w:r>
        <w:rPr>
          <w:sz w:val="20"/>
        </w:rPr>
        <w:t xml:space="preserve"> de l'Institut Régional de Santé Publique Comlan Alfred Quenum (Université d'Abomey-Calavi, Bénin), complété par un </w:t>
      </w:r>
      <w:r>
        <w:rPr>
          <w:b/>
          <w:sz w:val="20"/>
        </w:rPr>
        <w:t>diplôme universitaire en éducation nutritionnelle pour l'Afrique francophone</w:t>
      </w:r>
      <w:r>
        <w:rPr>
          <w:sz w:val="20"/>
        </w:rPr>
        <w:t xml:space="preserve"> (Université Senghor). J'ai travaillé deux ans en microbiologie à l'URMAPHA, puis conduit trois travaux de terrain au Bénin : une </w:t>
      </w:r>
      <w:r>
        <w:rPr>
          <w:b/>
          <w:sz w:val="20"/>
        </w:rPr>
        <w:t>analyse de situation nutritionnelle</w:t>
      </w:r>
      <w:r>
        <w:rPr>
          <w:sz w:val="20"/>
        </w:rPr>
        <w:t xml:space="preserve"> en zone sanitaire à partir des données DHIS2, des entretiens et une analyse SWOT ; une </w:t>
      </w:r>
      <w:r>
        <w:rPr>
          <w:b/>
          <w:sz w:val="20"/>
        </w:rPr>
        <w:t>étude interventionnelle</w:t>
      </w:r>
      <w:r>
        <w:rPr>
          <w:sz w:val="20"/>
        </w:rPr>
        <w:t xml:space="preserve"> sur l'hygiène hydro-fécale et alimentaire à Sô-Ava (échantillonnage, collecte KoboCollect, comparaison de scores CAPP avant/après) ; et une </w:t>
      </w:r>
      <w:r>
        <w:rPr>
          <w:b/>
          <w:sz w:val="20"/>
        </w:rPr>
        <w:t>analyse de situation sanitaire départementale</w:t>
      </w:r>
      <w:r>
        <w:rPr>
          <w:sz w:val="20"/>
        </w:rPr>
        <w:t xml:space="preserve"> avec priorisation et plan opérationnel à objectifs SMART.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Ce parcours m'a montré une chose : je sais décrire une situation et suivre un changement, mais je ne sais pas encore </w:t>
      </w:r>
      <w:r>
        <w:rPr>
          <w:b/>
          <w:sz w:val="20"/>
        </w:rPr>
        <w:t>établir qu'un effet est attribuable à une intervention</w:t>
      </w:r>
      <w:r>
        <w:rPr>
          <w:sz w:val="20"/>
        </w:rPr>
        <w:t xml:space="preserve">. C'est cette méthode que je viens chercher, et je souhaite entreprendre une </w:t>
      </w:r>
      <w:r>
        <w:rPr>
          <w:b/>
          <w:sz w:val="20"/>
        </w:rPr>
        <w:t>maîtrise de recherche</w:t>
      </w:r>
      <w:r>
        <w:rPr>
          <w:sz w:val="20"/>
        </w:rPr>
        <w:t xml:space="preserve"> sous votre direction à partir de [session : été 2028 ou automne 2028]. Je compte soumettre une demande au programme </w:t>
      </w:r>
      <w:r>
        <w:rPr>
          <w:b/>
          <w:sz w:val="20"/>
        </w:rPr>
        <w:t>PBEEE</w:t>
      </w:r>
      <w:r>
        <w:rPr>
          <w:sz w:val="20"/>
        </w:rPr>
        <w:t xml:space="preserve"> du Fonds de recherche du Québec, dont la campagne s'ouvre en juillet 2027 (dépôt à l'université en septembre-octobre 2027).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Pourriez-vous m'indiquer si vous accueillez une étudiante sur ce profil, et quelles seraient vos attentes ? Je joins mon CV (français et anglais) et un résumé de projet d'une page.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Respectueusement,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b/>
          <w:sz w:val="20"/>
        </w:rPr>
        <w:t>Marie-Edith R. A. M. GNACADJA</w:t>
      </w:r>
      <w:r>
        <w:rPr>
          <w:sz w:val="20"/>
        </w:rPr>
        <w:t xml:space="preserve"> — edithgnaca1@gmail.com — +229 62 07 56 06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Règles d'or</w:t>
      </w:r>
    </w:p>
    <w:p>
      <w:pPr>
        <w:pStyle w:val="ListBullet"/>
        <w:spacing w:after="40"/>
        <w:ind w:left="425"/>
      </w:pPr>
      <w:r>
        <w:rPr>
          <w:b/>
        </w:rPr>
        <w:t>1 professeur = 1 mail.</w:t>
      </w:r>
      <w:r>
        <w:t xml:space="preserve"> Jamais de copie cachée. Jamais 10 pièces jointes.</w:t>
      </w:r>
    </w:p>
    <w:p>
      <w:pPr>
        <w:pStyle w:val="ListBullet"/>
        <w:spacing w:after="40"/>
        <w:ind w:left="425"/>
      </w:pPr>
      <w:r>
        <w:rPr>
          <w:b/>
        </w:rPr>
        <w:t>Joignez dès le premier mail</w:t>
      </w:r>
      <w:r>
        <w:t xml:space="preserve"> : CV (1-2 pages) + </w:t>
      </w:r>
      <w:r>
        <w:rPr>
          <w:b/>
        </w:rPr>
        <w:t>résumé de projet de 1 page</w:t>
      </w:r>
      <w:r>
        <w:t>. Sans pièce jointe, vous n'existez pas.</w:t>
      </w:r>
    </w:p>
    <w:p>
      <w:pPr>
        <w:pStyle w:val="ListBullet"/>
        <w:spacing w:after="40"/>
        <w:ind w:left="425"/>
      </w:pPr>
      <w:r>
        <w:rPr>
          <w:b/>
        </w:rPr>
        <w:t>Relance unique</w:t>
      </w:r>
      <w:r>
        <w:t xml:space="preserve"> après 10-12 jours. Puis vous passez au suivant.</w:t>
      </w:r>
    </w:p>
    <w:p>
      <w:pPr>
        <w:pStyle w:val="ListBullet"/>
        <w:spacing w:after="40"/>
        <w:ind w:left="425"/>
      </w:pPr>
      <w:r>
        <w:rPr>
          <w:b/>
        </w:rPr>
        <w:t>Taux de réponse réaliste : 20-30 %.</w:t>
      </w:r>
      <w:r>
        <w:t xml:space="preserve"> Sur 15 mails envoyés, attendez-vous à </w:t>
      </w:r>
      <w:r>
        <w:rPr>
          <w:b/>
        </w:rPr>
        <w:t>3-5 réponses</w:t>
      </w:r>
      <w:r>
        <w:t xml:space="preserve"> et </w:t>
      </w:r>
      <w:r>
        <w:rPr>
          <w:b/>
        </w:rPr>
        <w:t>1-2 portes ouvertes</w:t>
      </w:r>
      <w:r>
        <w:t>. Ce n'est pas un échec, c'est le fonctionnement normal.</w:t>
      </w:r>
    </w:p>
    <w:p>
      <w:pPr>
        <w:pStyle w:val="ListBullet"/>
        <w:spacing w:after="40"/>
        <w:ind w:left="425"/>
      </w:pPr>
      <w:r>
        <w:rPr>
          <w:b/>
        </w:rPr>
        <w:t>Écrivez en français</w:t>
      </w:r>
      <w:r>
        <w:t xml:space="preserve"> aux universités francophones (Laval, UdeM, Sherbrooke, UQTR, UQAC, UQO). En anglais seulement pour McGill.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5. LE RÉSUMÉ DE PROJET (1 page) — structure à remplir</w:t>
      </w:r>
    </w:p>
    <w:p>
      <w:pPr>
        <w:pStyle w:val="ListNumber"/>
        <w:spacing w:after="40"/>
        <w:ind w:left="425"/>
      </w:pPr>
      <w:r>
        <w:rPr>
          <w:b/>
        </w:rPr>
        <w:t>Titre provisoire</w:t>
      </w:r>
      <w:r>
        <w:t xml:space="preserve"> : par exemple </w:t>
      </w:r>
      <w:r>
        <w:rPr>
          <w:i/>
        </w:rPr>
        <w:t>« Évaluation de l'effet d'un programme de nutrition scolaire sur l'état nutritionnel des enfants de 6 à 12 ans dans une zone sanitaire rurale du Bénin : étude quasi-expérimentale »</w:t>
      </w:r>
    </w:p>
    <w:p>
      <w:pPr>
        <w:pStyle w:val="ListNumber"/>
        <w:spacing w:after="40"/>
        <w:ind w:left="425"/>
      </w:pPr>
      <w:r>
        <w:rPr>
          <w:b/>
        </w:rPr>
        <w:t>Contexte (10 lignes)</w:t>
      </w:r>
      <w:r>
        <w:t xml:space="preserve"> : double fardeau nutritionnel au Bénin ; existence de programmes ; absence de dispositifs d'évaluation intégrés</w:t>
      </w:r>
    </w:p>
    <w:p>
      <w:pPr>
        <w:pStyle w:val="ListNumber"/>
        <w:spacing w:after="40"/>
        <w:ind w:left="425"/>
      </w:pPr>
      <w:r>
        <w:rPr>
          <w:b/>
        </w:rPr>
        <w:t>Problème (5 lignes)</w:t>
      </w:r>
      <w:r>
        <w:t xml:space="preserve"> : les programmes sont suivis, pas évalués ; les décisions de financement reposent sur des indicateurs de processus</w:t>
      </w:r>
    </w:p>
    <w:p>
      <w:pPr>
        <w:pStyle w:val="ListNumber"/>
        <w:spacing w:after="40"/>
        <w:ind w:left="425"/>
      </w:pPr>
      <w:r>
        <w:rPr>
          <w:b/>
        </w:rPr>
        <w:t>Question de recherche (2 lignes)</w:t>
      </w:r>
      <w:r>
        <w:t>, en une seule phrase interrogative</w:t>
      </w:r>
    </w:p>
    <w:p>
      <w:pPr>
        <w:pStyle w:val="ListNumber"/>
        <w:spacing w:after="40"/>
        <w:ind w:left="425"/>
      </w:pPr>
      <w:r>
        <w:rPr>
          <w:b/>
        </w:rPr>
        <w:t>Méthode envisagée (10 lignes)</w:t>
      </w:r>
      <w:r>
        <w:t xml:space="preserve"> : design (quasi-expérimental avant/après avec groupe de comparaison), population, taille d'échantillon à calculer, indicateurs anthropométriques (taille-pour-âge, poids-pour-taille, IMC-pour-âge), données de consommation alimentaire, analyse (modèles mixtes, ajustement), considérations éthiques (comité national d'éthique, consentement)</w:t>
      </w:r>
    </w:p>
    <w:p>
      <w:pPr>
        <w:pStyle w:val="ListNumber"/>
        <w:spacing w:after="40"/>
        <w:ind w:left="425"/>
      </w:pPr>
      <w:r>
        <w:rPr>
          <w:b/>
        </w:rPr>
        <w:t>Faisabilité (5 lignes)</w:t>
      </w:r>
      <w:r>
        <w:t xml:space="preserve"> : terrain d'accès (zones sanitaires déjà travaillées), partenaires locaux (IRSP-CAQ, directions départementales, URMAPHA), données existantes (DHIS2)</w:t>
      </w:r>
    </w:p>
    <w:p>
      <w:pPr>
        <w:pStyle w:val="ListNumber"/>
        <w:spacing w:after="40"/>
        <w:ind w:left="425"/>
      </w:pPr>
      <w:r>
        <w:rPr>
          <w:b/>
        </w:rPr>
        <w:t>Retombées attendues (5 lignes)</w:t>
      </w:r>
      <w:r>
        <w:t xml:space="preserve"> : pour le Bénin, pour la littérature, pour votre trajectoire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</w:t>
      </w:r>
      <w:r>
        <w:rPr>
          <w:b/>
          <w:sz w:val="20"/>
        </w:rPr>
        <w:t>Ne cherchez pas à impressionner par l'ambition.</w:t>
      </w:r>
      <w:r>
        <w:rPr>
          <w:sz w:val="20"/>
        </w:rPr>
        <w:t xml:space="preserve"> Un projet </w:t>
      </w:r>
      <w:r>
        <w:rPr>
          <w:b/>
          <w:sz w:val="20"/>
        </w:rPr>
        <w:t>modeste, faisable et bien borné</w:t>
      </w:r>
      <w:r>
        <w:rPr>
          <w:sz w:val="20"/>
        </w:rPr>
        <w:t xml:space="preserve"> séduit un directeur de recherche. Un projet trop large signale que vous ne mesurez pas le travail.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6. CALENDRIER (à partir de maintenant)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Quand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Action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Novembre 2026 – février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Veille</w:t>
            </w:r>
            <w:r>
              <w:rPr>
                <w:sz w:val="19"/>
              </w:rPr>
              <w:t xml:space="preserve"> : lire 1 article par semaine des 5 cibles ; noter les sujets, les méthodes, les terrains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Mars – juin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Rédiger le </w:t>
            </w:r>
            <w:r>
              <w:rPr>
                <w:b/>
                <w:sz w:val="19"/>
              </w:rPr>
              <w:t>résumé de projet (1 page)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CV anglais</w:t>
            </w:r>
            <w:r>
              <w:rPr>
                <w:sz w:val="19"/>
              </w:rPr>
              <w:t>. Faire relire le résumé par Dr Legba (habitué à l'anglais scientifique)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Juillet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Ouverture de la campagne PBEEE 2027-2028</w:t>
            </w:r>
            <w:r>
              <w:rPr>
                <w:sz w:val="19"/>
              </w:rPr>
              <w:t xml:space="preserve"> → identifier les dates internes de chaque université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Juillet – août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Envoyer </w:t>
            </w:r>
            <w:r>
              <w:rPr>
                <w:b/>
                <w:sz w:val="19"/>
              </w:rPr>
              <w:t>10 à 15 mails</w:t>
            </w:r>
            <w:r>
              <w:rPr>
                <w:sz w:val="19"/>
              </w:rPr>
              <w:t xml:space="preserve"> de prospection (5 cibles, 2-3 professeurs chacune)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Septembre – octobre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Dates internes de dépôt</w:t>
            </w:r>
            <w:r>
              <w:rPr>
                <w:sz w:val="19"/>
              </w:rPr>
              <w:t xml:space="preserve"> dans les universités (souvent fin septembre / mi-octobre) — c'est la </w:t>
            </w:r>
            <w:r>
              <w:rPr>
                <w:b/>
                <w:sz w:val="19"/>
              </w:rPr>
              <w:t>vraie</w:t>
            </w:r>
            <w:r>
              <w:rPr>
                <w:sz w:val="19"/>
              </w:rPr>
              <w:t xml:space="preserve"> échéance, pas celle du FRQ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Octobre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Les universités transmettent leurs candidatures présélectionnées au FRQ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Début décembre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Dépôt final au FRQ</w:t>
            </w:r>
            <w:r>
              <w:rPr>
                <w:sz w:val="19"/>
              </w:rPr>
              <w:t xml:space="preserve"> par les personnes présélectionnées (16 h, heure de l'Est)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Printemps 2028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Résultats · démarches </w:t>
            </w:r>
            <w:r>
              <w:rPr>
                <w:b/>
                <w:sz w:val="19"/>
              </w:rPr>
              <w:t>CAQ</w:t>
            </w:r>
            <w:r>
              <w:rPr>
                <w:sz w:val="19"/>
              </w:rPr>
              <w:t xml:space="preserve"> (capacité financière : </w:t>
            </w:r>
            <w:r>
              <w:rPr>
                <w:b/>
                <w:sz w:val="19"/>
              </w:rPr>
              <w:t>24 617 $ CA</w:t>
            </w:r>
            <w:r>
              <w:rPr>
                <w:sz w:val="19"/>
              </w:rPr>
              <w:t xml:space="preserve"> pour une personne seule, sauf si boursière → montant réduit) et </w:t>
            </w:r>
            <w:r>
              <w:rPr>
                <w:b/>
                <w:sz w:val="19"/>
              </w:rPr>
              <w:t>permis d'études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Mai 2028 – janvier 2029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Entrée en vigueur possible de la bourse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7. CE QUI COMPTE DANS LE DOSSIER PBEEE (au-delà du projet)</w:t>
      </w:r>
    </w:p>
    <w:p>
      <w:pPr>
        <w:pStyle w:val="ListBullet"/>
        <w:spacing w:after="40"/>
        <w:ind w:left="425"/>
      </w:pPr>
      <w:r>
        <w:rPr>
          <w:b/>
        </w:rPr>
        <w:t>Excellence académique</w:t>
      </w:r>
      <w:r>
        <w:t xml:space="preserve"> : moyenne, rang, progression. Si votre moyenne est juste au seuil, compensez par les </w:t>
      </w:r>
      <w:r>
        <w:rPr>
          <w:b/>
        </w:rPr>
        <w:t>publications et communications</w:t>
      </w:r>
    </w:p>
    <w:p>
      <w:pPr>
        <w:pStyle w:val="ListBullet"/>
        <w:spacing w:after="40"/>
        <w:ind w:left="425"/>
      </w:pPr>
      <w:r>
        <w:rPr>
          <w:b/>
        </w:rPr>
        <w:t>Publications</w:t>
      </w:r>
      <w:r>
        <w:t xml:space="preserve"> : </w:t>
      </w:r>
      <w:r>
        <w:rPr>
          <w:b/>
        </w:rPr>
        <w:t>valorisez vos rapports de stage</w:t>
      </w:r>
      <w:r>
        <w:t xml:space="preserve">. Objectif concret d'ici 2027 : </w:t>
      </w:r>
      <w:r>
        <w:rPr>
          <w:b/>
        </w:rPr>
        <w:t>1 article court publié ou soumis</w:t>
      </w:r>
      <w:r>
        <w:t xml:space="preserve"> (revue africaine de santé publique, ou actes de conférence) à partir de votre travail à Sô-Ava ou de l'analyse de la zone ADD. C'est le facteur qui change un dossier</w:t>
      </w:r>
    </w:p>
    <w:p>
      <w:pPr>
        <w:pStyle w:val="ListBullet"/>
        <w:spacing w:after="40"/>
        <w:ind w:left="425"/>
      </w:pPr>
      <w:r>
        <w:rPr>
          <w:b/>
        </w:rPr>
        <w:t>Deux références</w:t>
      </w:r>
      <w:r>
        <w:t xml:space="preserve"> : Pr Colette AZANDJEME et Dr Brice Boris LEGBA — prévenez-les </w:t>
      </w:r>
      <w:r>
        <w:rPr>
          <w:b/>
        </w:rPr>
        <w:t>un an</w:t>
      </w:r>
      <w:r>
        <w:t xml:space="preserve"> à l'avance</w:t>
      </w:r>
    </w:p>
    <w:p>
      <w:pPr>
        <w:pStyle w:val="ListBullet"/>
        <w:spacing w:after="40"/>
        <w:ind w:left="425"/>
      </w:pPr>
      <w:r>
        <w:rPr>
          <w:b/>
        </w:rPr>
        <w:t>Lettre du directeur de recherche</w:t>
      </w:r>
      <w:r>
        <w:t xml:space="preserve"> : la pièce déterminante, d'où l'importance du §4</w:t>
      </w:r>
    </w:p>
    <w:p>
      <w:pPr>
        <w:pStyle w:val="ListBullet"/>
        <w:spacing w:after="40"/>
        <w:ind w:left="425"/>
      </w:pPr>
      <w:r>
        <w:rPr>
          <w:b/>
        </w:rPr>
        <w:t>Adéquation avec le programme</w:t>
      </w:r>
      <w:r>
        <w:t xml:space="preserve"> : montrez que vous connaissez les axes du laboratoire, pas seulement l'université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8. LES 4 ERREURS QUI TUENT UNE CANDIDATURE QUÉBÉCOISE</w:t>
      </w:r>
    </w:p>
    <w:p>
      <w:pPr>
        <w:pStyle w:val="ListNumber"/>
        <w:spacing w:after="40"/>
        <w:ind w:left="425"/>
      </w:pPr>
      <w:r>
        <w:rPr>
          <w:b/>
        </w:rPr>
        <w:t>Écrire à un professeur sans avoir lu un de ses articles.</w:t>
      </w:r>
      <w:r>
        <w:t xml:space="preserve"> Il le voit en une phrase.</w:t>
      </w:r>
    </w:p>
    <w:p>
      <w:pPr>
        <w:pStyle w:val="ListNumber"/>
        <w:spacing w:after="40"/>
        <w:ind w:left="425"/>
      </w:pPr>
      <w:r>
        <w:rPr>
          <w:b/>
        </w:rPr>
        <w:t>Attendre l'ouverture officielle</w:t>
      </w:r>
      <w:r>
        <w:t xml:space="preserve"> pour contacter les professeurs. Les places se discutent </w:t>
      </w:r>
      <w:r>
        <w:rPr>
          <w:b/>
        </w:rPr>
        <w:t>6 à 9 mois avant</w:t>
      </w:r>
      <w:r>
        <w:t>.</w:t>
      </w:r>
    </w:p>
    <w:p>
      <w:pPr>
        <w:pStyle w:val="ListNumber"/>
        <w:spacing w:after="40"/>
        <w:ind w:left="425"/>
      </w:pPr>
      <w:r>
        <w:rPr>
          <w:b/>
        </w:rPr>
        <w:t>Confondre les deux dates</w:t>
      </w:r>
      <w:r>
        <w:t xml:space="preserve"> : la date interne de l'université (sept.-oct.) et la date du FRQ (début déc.). Rater la première rend la seconde inutile.</w:t>
      </w:r>
    </w:p>
    <w:p>
      <w:pPr>
        <w:pStyle w:val="ListNumber"/>
        <w:spacing w:after="40"/>
        <w:ind w:left="425"/>
      </w:pPr>
      <w:r>
        <w:rPr>
          <w:b/>
        </w:rPr>
        <w:t>Négliger l'anglais dans le discours.</w:t>
      </w:r>
      <w:r>
        <w:t xml:space="preserve"> Personne ne vous demandera l'IELTS, mais un directeur de recherche vous demandera de lire 3 articles par semaine. Dites ce que vous faites pour progresser (lecture d'abstracts, cours, test en 2027).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9. ALTERNATIVE SI LE PBEEE NE PASSE 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Option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Bourse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Statut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Exemption des droits de scolarité majorés</w:t>
            </w:r>
            <w:r>
              <w:rPr>
                <w:sz w:val="19"/>
              </w:rPr>
              <w:t xml:space="preserve"> accordée par l'université (hors concours)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Économie de 15 000-25 000 $ CA/an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À demander systématiquement au directeur de recherche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Poste d'auxiliaire de recherche / d'enseignement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15-25 h/semaine, rémunéré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Souvent proposé par le laboratoire d'accueil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de l'université</w:t>
            </w:r>
            <w:r>
              <w:rPr>
                <w:sz w:val="19"/>
              </w:rPr>
              <w:t xml:space="preserve"> (admission, excellence, fondations)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5 000-20 000 $ CA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À demander dans le dossier d'admission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de partenaires</w:t>
            </w:r>
            <w:r>
              <w:rPr>
                <w:sz w:val="19"/>
              </w:rPr>
              <w:t xml:space="preserve"> (CRDI, chaires, projets financés)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Variable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Le professeur peut vous financer sur son projet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🎯 </w:t>
      </w:r>
      <w:r>
        <w:rPr>
          <w:b/>
          <w:sz w:val="20"/>
        </w:rPr>
        <w:t>La règle</w:t>
      </w:r>
      <w:r>
        <w:rPr>
          <w:sz w:val="20"/>
        </w:rPr>
        <w:t xml:space="preserve"> : au Québec, </w:t>
      </w:r>
      <w:r>
        <w:rPr>
          <w:b/>
          <w:sz w:val="20"/>
        </w:rPr>
        <w:t>on ne candidate pas à une bourse, on candidate à un laboratoire</w:t>
      </w:r>
      <w:r>
        <w:rPr>
          <w:sz w:val="20"/>
        </w:rPr>
        <w:t>. La bourse suit le professeur. C'est l'inverse de la France, où l'on candidate d'abord à un master. Retenez cette différence : elle décide de votre méthode de travail.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10. LIENS OFFICIELS</w:t>
      </w:r>
    </w:p>
    <w:p>
      <w:pPr>
        <w:pStyle w:val="ListBullet"/>
        <w:spacing w:after="40"/>
        <w:ind w:left="425"/>
      </w:pPr>
      <w:r>
        <w:rPr>
          <w:b/>
        </w:rPr>
        <w:t>TRANSNUT</w:t>
      </w:r>
      <w:r>
        <w:t xml:space="preserve"> (UdeM) : </w:t>
      </w:r>
      <w:hyperlink r:id="rId9">
        <w:r>
          <w:rPr>
            <w:color w:val="0B6B5F"/>
            <w:u w:val="single"/>
          </w:rPr>
          <w:t xml:space="preserve">https://nutrition.umontreal.ca/ressources/transnut/</w:t>
        </w:r>
      </w:hyperlink>
    </w:p>
    <w:p>
      <w:pPr>
        <w:pStyle w:val="ListBullet"/>
        <w:spacing w:after="40"/>
        <w:ind w:left="425"/>
      </w:pPr>
      <w:r>
        <w:rPr>
          <w:b/>
        </w:rPr>
        <w:t>Département de nutrition, UdeM</w:t>
      </w:r>
      <w:r>
        <w:t xml:space="preserve"> : </w:t>
      </w:r>
      <w:hyperlink r:id="rId10">
        <w:r>
          <w:rPr>
            <w:color w:val="0B6B5F"/>
            <w:u w:val="single"/>
          </w:rPr>
          <w:t xml:space="preserve">https://nutrition.umontreal.ca</w:t>
        </w:r>
      </w:hyperlink>
    </w:p>
    <w:p>
      <w:pPr>
        <w:pStyle w:val="ListBullet"/>
        <w:spacing w:after="40"/>
        <w:ind w:left="425"/>
      </w:pPr>
      <w:r>
        <w:rPr>
          <w:b/>
        </w:rPr>
        <w:t>CReSP</w:t>
      </w:r>
      <w:r>
        <w:t xml:space="preserve"> : </w:t>
      </w:r>
      <w:hyperlink r:id="rId11">
        <w:r>
          <w:rPr>
            <w:color w:val="0B6B5F"/>
            <w:u w:val="single"/>
          </w:rPr>
          <w:t xml:space="preserve">https://cresp.ca</w:t>
        </w:r>
      </w:hyperlink>
    </w:p>
    <w:p>
      <w:pPr>
        <w:pStyle w:val="ListBullet"/>
        <w:spacing w:after="40"/>
        <w:ind w:left="425"/>
      </w:pPr>
      <w:r>
        <w:rPr>
          <w:b/>
        </w:rPr>
        <w:t>INAF / NUTRISS</w:t>
      </w:r>
      <w:r>
        <w:t xml:space="preserve"> (Laval) : </w:t>
      </w:r>
      <w:hyperlink r:id="rId12">
        <w:r>
          <w:rPr>
            <w:color w:val="0B6B5F"/>
            <w:u w:val="single"/>
          </w:rPr>
          <w:t xml:space="preserve">https://www.inaf.ulaval.ca</w:t>
        </w:r>
      </w:hyperlink>
      <w:r>
        <w:t xml:space="preserve"> · </w:t>
      </w:r>
      <w:hyperlink r:id="rId13">
        <w:r>
          <w:rPr>
            <w:color w:val="0B6B5F"/>
            <w:u w:val="single"/>
          </w:rPr>
          <w:t xml:space="preserve">https://www.ulaval.ca</w:t>
        </w:r>
      </w:hyperlink>
    </w:p>
    <w:p>
      <w:pPr>
        <w:pStyle w:val="ListBullet"/>
        <w:spacing w:after="40"/>
        <w:ind w:left="425"/>
      </w:pPr>
      <w:r>
        <w:rPr>
          <w:b/>
        </w:rPr>
        <w:t>Maîtrise en nutrition avec mémoire (Laval)</w:t>
      </w:r>
      <w:r>
        <w:t xml:space="preserve"> — conditions d'admission et exigences linguistiques : </w:t>
      </w:r>
      <w:hyperlink r:id="rId14">
        <w:r>
          <w:rPr>
            <w:color w:val="0B6B5F"/>
            <w:u w:val="single"/>
          </w:rPr>
          <w:t xml:space="preserve">https://www.ulaval.ca/etudes/programmes/maitrise-en-nutrition-avec-memoire</w:t>
        </w:r>
      </w:hyperlink>
    </w:p>
    <w:p>
      <w:pPr>
        <w:pStyle w:val="ListBullet"/>
        <w:spacing w:after="40"/>
        <w:ind w:left="425"/>
      </w:pPr>
      <w:r>
        <w:rPr>
          <w:b/>
        </w:rPr>
        <w:t>PBEEE 2027-2028 (FRQ)</w:t>
      </w:r>
      <w:r>
        <w:t xml:space="preserve"> : </w:t>
      </w:r>
      <w:hyperlink r:id="rId15">
        <w:r>
          <w:rPr>
            <w:color w:val="0B6B5F"/>
            <w:u w:val="single"/>
          </w:rPr>
          <w:t xml:space="preserve">https://frq.gouv.qc.ca/programme/bourses-dexcellence-pour-etudiantes-etrangeres-et-etudiants-etrangers-pbeee-2027-2028/</w:t>
        </w:r>
      </w:hyperlink>
    </w:p>
    <w:p>
      <w:pPr>
        <w:pStyle w:val="ListBullet"/>
        <w:spacing w:after="40"/>
        <w:ind w:left="425"/>
      </w:pPr>
      <w:r>
        <w:rPr>
          <w:b/>
        </w:rPr>
        <w:t>Concours ouverts du FRQ</w:t>
      </w:r>
      <w:r>
        <w:t xml:space="preserve"> : </w:t>
      </w:r>
      <w:hyperlink r:id="rId16">
        <w:r>
          <w:rPr>
            <w:color w:val="0B6B5F"/>
            <w:u w:val="single"/>
          </w:rPr>
          <w:t xml:space="preserve">https://frq.gouv.qc.ca/concours-ouverts/</w:t>
        </w:r>
      </w:hyperlink>
    </w:p>
    <w:p>
      <w:pPr>
        <w:pStyle w:val="ListBullet"/>
        <w:spacing w:after="40"/>
        <w:ind w:left="425"/>
      </w:pPr>
      <w:r>
        <w:rPr>
          <w:b/>
        </w:rPr>
        <w:t>Immigration Québec (CAQ études)</w:t>
      </w:r>
      <w:r>
        <w:t xml:space="preserve"> : </w:t>
      </w:r>
      <w:hyperlink r:id="rId17">
        <w:r>
          <w:rPr>
            <w:color w:val="0B6B5F"/>
            <w:u w:val="single"/>
          </w:rPr>
          <w:t xml:space="preserve">https://www.quebec.ca/immigration/etudier</w:t>
        </w:r>
      </w:hyperlink>
    </w:p>
    <w:p>
      <w:pPr>
        <w:pStyle w:val="ListBullet"/>
        <w:spacing w:after="40"/>
        <w:ind w:left="425"/>
      </w:pPr>
      <w:r>
        <w:rPr>
          <w:b/>
        </w:rPr>
        <w:t>IRCC (permis d'études)</w:t>
      </w:r>
      <w:r>
        <w:t xml:space="preserve"> : </w:t>
      </w:r>
      <w:hyperlink r:id="rId18">
        <w:r>
          <w:rPr>
            <w:color w:val="0B6B5F"/>
            <w:u w:val="single"/>
          </w:rPr>
          <w:t xml:space="preserve">https://www.canada.ca/fr/immigration-refugies-citoyennete/services/etudier-canada.html</w:t>
        </w:r>
      </w:hyperlink>
    </w:p>
    <w:p>
      <w:pPr>
        <w:spacing w:after="0"/>
      </w:pP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utrition.umontreal.ca/ressources/transnut/" TargetMode="External"/><Relationship Id="rId10" Type="http://schemas.openxmlformats.org/officeDocument/2006/relationships/hyperlink" Target="https://nutrition.umontreal.ca" TargetMode="External"/><Relationship Id="rId11" Type="http://schemas.openxmlformats.org/officeDocument/2006/relationships/hyperlink" Target="https://cresp.ca" TargetMode="External"/><Relationship Id="rId12" Type="http://schemas.openxmlformats.org/officeDocument/2006/relationships/hyperlink" Target="https://www.inaf.ulaval.ca" TargetMode="External"/><Relationship Id="rId13" Type="http://schemas.openxmlformats.org/officeDocument/2006/relationships/hyperlink" Target="https://www.ulaval.ca" TargetMode="External"/><Relationship Id="rId14" Type="http://schemas.openxmlformats.org/officeDocument/2006/relationships/hyperlink" Target="https://www.ulaval.ca/etudes/programmes/maitrise-en-nutrition-avec-memoire" TargetMode="External"/><Relationship Id="rId15" Type="http://schemas.openxmlformats.org/officeDocument/2006/relationships/hyperlink" Target="https://frq.gouv.qc.ca/programme/bourses-dexcellence-pour-etudiantes-etrangeres-et-etudiants-etrangers-pbeee-2027-2028/" TargetMode="External"/><Relationship Id="rId16" Type="http://schemas.openxmlformats.org/officeDocument/2006/relationships/hyperlink" Target="https://frq.gouv.qc.ca/concours-ouverts/" TargetMode="External"/><Relationship Id="rId17" Type="http://schemas.openxmlformats.org/officeDocument/2006/relationships/hyperlink" Target="https://www.quebec.ca/immigration/etudier" TargetMode="External"/><Relationship Id="rId18" Type="http://schemas.openxmlformats.org/officeDocument/2006/relationships/hyperlink" Target="https://www.canada.ca/fr/immigration-refugies-citoyennete/services/etudier-cana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