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8"/>
        </w:rPr>
        <w:t>RÉPONSE AU COURRIEL DE Marijke (PROJET OVILAC)</w:t>
      </w:r>
    </w:p>
    <w:p>
      <w:pPr>
        <w:jc w:val="center"/>
      </w:pPr>
      <w:r>
        <w:rPr>
          <w:i/>
          <w:sz w:val="24"/>
        </w:rPr>
        <w:t>Au Sujet du mémoire de Master : « Effet de l’éducation à l’hygiène hydro-fécale et alimentaire</w:t>
        <w:br/>
        <w:t>sur les comportements d’hygiène dans les ménages à Sô-Ava en 2026 »</w:t>
      </w:r>
    </w:p>
    <w:p/>
    <w:tbl>
      <w:tblPr>
        <w:tblStyle w:val="TableGrid"/>
        <w:tblW w:type="auto" w:w="0"/>
        <w:jc w:val="center"/>
        <w:tblLook w:firstColumn="1" w:firstRow="1" w:lastColumn="0" w:lastRow="0" w:noHBand="0" w:noVBand="1" w:val="04A0"/>
      </w:tblPr>
      <w:tblGrid>
        <w:gridCol w:w="4873"/>
        <w:gridCol w:w="4873"/>
      </w:tblGrid>
      <w:tr>
        <w:tc>
          <w:tcPr>
            <w:tcW w:type="dxa" w:w="2381"/>
            <w:shd w:fill="1F4E79" w:val="clear"/>
          </w:tcPr>
          <w:p>
            <w:r/>
            <w:r>
              <w:rPr>
                <w:rFonts w:ascii="Calibri" w:hAnsi="Calibri"/>
                <w:b/>
                <w:color w:val="FFFFFF"/>
                <w:sz w:val="18"/>
              </w:rPr>
              <w:t>Élément</w:t>
            </w:r>
          </w:p>
        </w:tc>
        <w:tc>
          <w:tcPr>
            <w:tcW w:type="dxa" w:w="6917"/>
            <w:shd w:fill="1F4E79" w:val="clear"/>
          </w:tcPr>
          <w:p>
            <w:r/>
            <w:r>
              <w:rPr>
                <w:rFonts w:ascii="Calibri" w:hAnsi="Calibri"/>
                <w:b/>
                <w:color w:val="FFFFFF"/>
                <w:sz w:val="18"/>
              </w:rPr>
              <w:t>Détail</w:t>
            </w:r>
          </w:p>
        </w:tc>
      </w:tr>
      <w:tr>
        <w:tc>
          <w:tcPr>
            <w:tcW w:type="dxa" w:w="2381"/>
          </w:tcPr>
          <w:p>
            <w:r/>
            <w:r>
              <w:rPr>
                <w:rFonts w:ascii="Calibri" w:hAnsi="Calibri"/>
                <w:sz w:val="18"/>
              </w:rPr>
              <w:t>Auteure du mémoire</w:t>
            </w:r>
          </w:p>
        </w:tc>
        <w:tc>
          <w:tcPr>
            <w:tcW w:type="dxa" w:w="6917"/>
          </w:tcPr>
          <w:p>
            <w:r/>
            <w:r>
              <w:rPr>
                <w:rFonts w:ascii="Calibri" w:hAnsi="Calibri"/>
                <w:sz w:val="18"/>
              </w:rPr>
              <w:t>Marie-Edith Renata Arlene Marcelle GNACADJA — Master en Santé Publique, spécialité Nutrition et Santé des Populations</w:t>
            </w:r>
          </w:p>
        </w:tc>
      </w:tr>
      <w:tr>
        <w:tc>
          <w:tcPr>
            <w:tcW w:type="dxa" w:w="2381"/>
          </w:tcPr>
          <w:p>
            <w:r/>
            <w:r>
              <w:rPr>
                <w:rFonts w:ascii="Calibri" w:hAnsi="Calibri"/>
                <w:sz w:val="18"/>
              </w:rPr>
              <w:t>Destinataires de la réponse</w:t>
            </w:r>
          </w:p>
        </w:tc>
        <w:tc>
          <w:tcPr>
            <w:tcW w:type="dxa" w:w="6917"/>
          </w:tcPr>
          <w:p>
            <w:r/>
            <w:r>
              <w:rPr>
                <w:rFonts w:ascii="Calibri" w:hAnsi="Calibri"/>
                <w:sz w:val="18"/>
              </w:rPr>
              <w:t>Marijke (coordination OVILAC) et Professeure Colette AZANDJEME (directrice de mémoire) — répondre à toutes / Reply all</w:t>
            </w:r>
          </w:p>
        </w:tc>
      </w:tr>
      <w:tr>
        <w:tc>
          <w:tcPr>
            <w:tcW w:type="dxa" w:w="2381"/>
          </w:tcPr>
          <w:p>
            <w:r/>
            <w:r>
              <w:rPr>
                <w:rFonts w:ascii="Calibri" w:hAnsi="Calibri"/>
                <w:sz w:val="18"/>
              </w:rPr>
              <w:t>Contenu de ce document</w:t>
            </w:r>
          </w:p>
        </w:tc>
        <w:tc>
          <w:tcPr>
            <w:tcW w:type="dxa" w:w="6917"/>
          </w:tcPr>
          <w:p>
            <w:r/>
            <w:r>
              <w:rPr>
                <w:rFonts w:ascii="Calibri" w:hAnsi="Calibri"/>
                <w:sz w:val="18"/>
              </w:rPr>
              <w:t>1) Note d’utilisation à ne pas envoyer  •  2) Réponse détaillée en français, prête à copier-coller  •  3) Detailed reply in English, ready to copy-paste  •  4) Inventaire et légendes proposées pour les photos  •  5) Esquisse de plan d’analyses complémentaires</w:t>
            </w:r>
          </w:p>
        </w:tc>
      </w:tr>
      <w:tr>
        <w:tc>
          <w:tcPr>
            <w:tcW w:type="dxa" w:w="2381"/>
          </w:tcPr>
          <w:p>
            <w:r/>
            <w:r>
              <w:rPr>
                <w:rFonts w:ascii="Calibri" w:hAnsi="Calibri"/>
                <w:sz w:val="18"/>
              </w:rPr>
              <w:t>Fichiers associés (même dossier)</w:t>
            </w:r>
          </w:p>
        </w:tc>
        <w:tc>
          <w:tcPr>
            <w:tcW w:type="dxa" w:w="6917"/>
          </w:tcPr>
          <w:p>
            <w:r/>
            <w:r>
              <w:rPr>
                <w:rFonts w:ascii="Calibri" w:hAnsi="Calibri"/>
                <w:sz w:val="18"/>
              </w:rPr>
              <w:t>Version_francaise.txt ; English_version.txt ; Photos_pour_rapport_OVILAC.zip (10 photos + inventaire) ; Inventaire_photos_FR-EN.csv ; Supports_pedagogiques_optionnel/ (flipcharts et carte, à joindre seulement si Marijke les souhaite)</w:t>
            </w:r>
          </w:p>
        </w:tc>
      </w:tr>
      <w:tr>
        <w:tc>
          <w:tcPr>
            <w:tcW w:type="dxa" w:w="2381"/>
          </w:tcPr>
          <w:p>
            <w:r/>
            <w:r>
              <w:rPr>
                <w:rFonts w:ascii="Calibri" w:hAnsi="Calibri"/>
                <w:sz w:val="18"/>
              </w:rPr>
              <w:t>Date de préparation</w:t>
            </w:r>
          </w:p>
        </w:tc>
        <w:tc>
          <w:tcPr>
            <w:tcW w:type="dxa" w:w="6917"/>
          </w:tcPr>
          <w:p>
            <w:r/>
            <w:r>
              <w:rPr>
                <w:rFonts w:ascii="Calibri" w:hAnsi="Calibri"/>
                <w:sz w:val="18"/>
              </w:rPr>
              <w:t>Octobre 2026 — réponse envoyée une semaine après le courriel de Marijke (excuses intégrées en ouverture des deux versions)</w:t>
            </w:r>
          </w:p>
        </w:tc>
      </w:tr>
    </w:tbl>
    <w:p/>
    <w:p>
      <w:r>
        <w:rPr>
          <w:b/>
          <w:color w:val="C00000"/>
        </w:rPr>
        <w:t>Document de travail — relis les passages entre crochets et la note d’utilisation (Section A) avant l’envoi. N’envoie qu’UNE des deux versions (française OU anglaise), pas ce document-ci.</w:t>
      </w:r>
    </w:p>
    <w:p>
      <w:r>
        <w:br w:type="page"/>
      </w:r>
    </w:p>
    <w:p>
      <w:pPr>
        <w:pStyle w:val="Heading1"/>
      </w:pPr>
      <w:r>
        <w:t>Section A — Note d’utilisation (À NE PAS ENVOYER)</w:t>
      </w:r>
    </w:p>
    <w:p>
      <w:pPr>
        <w:pStyle w:val="Heading2"/>
      </w:pPr>
      <w:r>
        <w:t>A.1. Quelle version envoyer ?</w:t>
      </w:r>
    </w:p>
    <w:p>
      <w:pPr>
        <w:pStyle w:val="ListBullet"/>
      </w:pPr>
      <w:r>
        <w:rPr>
          <w:b/>
        </w:rPr>
        <w:t xml:space="preserve">Version française (recommandée si tu es plus à l’aise en français) : </w:t>
      </w:r>
      <w:r>
        <w:t>Marijke a écrit en anglais mais propose explicitement de répondre en français, et la Professeure Colette est destinataire : la version française est donc parfaitement appropriée, surtout si tu veux exprimer les nuances méthodologiques avec le plus de précision.</w:t>
      </w:r>
    </w:p>
    <w:p>
      <w:pPr>
        <w:pStyle w:val="ListBullet"/>
      </w:pPr>
      <w:r>
        <w:rPr>
          <w:b/>
        </w:rPr>
        <w:t xml:space="preserve">English version (recommandée si tu veux miser sur l’anglais du projet) : </w:t>
      </w:r>
      <w:r>
        <w:t>elle répond dans la langue de la coordinatrice et son paragraphe sur les limites pourra être repris plus facilement tel quel dans un reporting OVILAC en anglais. Envoie-la si tu es à l’aise avec le texte proposé.</w:t>
      </w:r>
    </w:p>
    <w:p>
      <w:pPr>
        <w:pStyle w:val="ListBullet"/>
      </w:pPr>
      <w:r>
        <w:rPr>
          <w:b/>
        </w:rPr>
        <w:t xml:space="preserve">En pratique : </w:t>
      </w:r>
      <w:r>
        <w:t>dans tous les cas, fais « Répondre à tous » pour garder la Professeure Colette en copie, conserve l’objet en « Re: », et n’envoie pas les deux versions dans le même courriel.</w:t>
      </w:r>
    </w:p>
    <w:p>
      <w:pPr>
        <w:pStyle w:val="Heading2"/>
      </w:pPr>
      <w:r>
        <w:t>A.2. Correspondance point par point avec le courriel de Marijke</w:t>
      </w:r>
    </w:p>
    <w:p>
      <w:r>
        <w:t>Chaque point de son courriel reçoit une réponse explicite dans les deux versions :</w:t>
      </w:r>
    </w:p>
    <w:tbl>
      <w:tblPr>
        <w:tblStyle w:val="TableGrid"/>
        <w:tblW w:type="auto" w:w="0"/>
        <w:jc w:val="center"/>
        <w:tblLook w:firstColumn="1" w:firstRow="1" w:lastColumn="0" w:lastRow="0" w:noHBand="0" w:noVBand="1" w:val="04A0"/>
      </w:tblPr>
      <w:tblGrid>
        <w:gridCol w:w="4873"/>
        <w:gridCol w:w="4873"/>
      </w:tblGrid>
      <w:tr>
        <w:tc>
          <w:tcPr>
            <w:tcW w:type="dxa" w:w="3402"/>
            <w:shd w:fill="1F4E79" w:val="clear"/>
          </w:tcPr>
          <w:p>
            <w:r/>
            <w:r>
              <w:rPr>
                <w:rFonts w:ascii="Calibri" w:hAnsi="Calibri"/>
                <w:b/>
                <w:color w:val="FFFFFF"/>
                <w:sz w:val="18"/>
              </w:rPr>
              <w:t>Point soulevé par Marijke</w:t>
            </w:r>
          </w:p>
        </w:tc>
        <w:tc>
          <w:tcPr>
            <w:tcW w:type="dxa" w:w="5896"/>
            <w:shd w:fill="1F4E79" w:val="clear"/>
          </w:tcPr>
          <w:p>
            <w:r/>
            <w:r>
              <w:rPr>
                <w:rFonts w:ascii="Calibri" w:hAnsi="Calibri"/>
                <w:b/>
                <w:color w:val="FFFFFF"/>
                <w:sz w:val="18"/>
              </w:rPr>
              <w:t>Réponse apportée (ancrage dans ton mémoire)</w:t>
            </w:r>
          </w:p>
        </w:tc>
      </w:tr>
      <w:tr>
        <w:tc>
          <w:tcPr>
            <w:tcW w:type="dxa" w:w="3402"/>
          </w:tcPr>
          <w:p>
            <w:r/>
            <w:r>
              <w:rPr>
                <w:rFonts w:ascii="Calibri" w:hAnsi="Calibri"/>
                <w:sz w:val="18"/>
              </w:rPr>
              <w:t>Excuses pour son délai, ses mois chargés, l’anglais ; regret de ne pas avoir lu avant la soutenance ; relecture liée au reporting OVILAC</w:t>
            </w:r>
          </w:p>
        </w:tc>
        <w:tc>
          <w:tcPr>
            <w:tcW w:type="dxa" w:w="5896"/>
          </w:tcPr>
          <w:p>
            <w:r/>
            <w:r>
              <w:rPr>
                <w:rFonts w:ascii="Calibri" w:hAnsi="Calibri"/>
                <w:sz w:val="18"/>
              </w:rPr>
              <w:t>Ouverture : excuses pour TON délai d’une semaine + remerciements, aucun besoin pour elle de s’excuser, regret partagé pour la soutenance mais satisfaction que la relecture serve le reporting.</w:t>
            </w:r>
          </w:p>
        </w:tc>
      </w:tr>
      <w:tr>
        <w:tc>
          <w:tcPr>
            <w:tcW w:type="dxa" w:w="3402"/>
          </w:tcPr>
          <w:p>
            <w:r/>
            <w:r>
              <w:rPr>
                <w:rFonts w:ascii="Calibri" w:hAnsi="Calibri"/>
                <w:sz w:val="18"/>
              </w:rPr>
              <w:t>Étude « impressive », grand nombre de femmes et de villages, informations très utiles pour OVILAC (eau sûre, latrines, lavage des mains, déchets, pratiques des ménages)</w:t>
            </w:r>
          </w:p>
        </w:tc>
        <w:tc>
          <w:tcPr>
            <w:tcW w:type="dxa" w:w="5896"/>
          </w:tcPr>
          <w:p>
            <w:r/>
            <w:r>
              <w:rPr>
                <w:rFonts w:ascii="Calibri" w:hAnsi="Calibri"/>
                <w:sz w:val="18"/>
              </w:rPr>
              <w:t>Remerciements appuyés ; rappel concret : 424 femmes suivies dans 21 villages / 7 arrondissements, contraintes du terrain lacustre (déplacements en pirogue/barque, mobilisation, climat — §3.5 et annexe d’implantation).</w:t>
            </w:r>
          </w:p>
        </w:tc>
      </w:tr>
      <w:tr>
        <w:tc>
          <w:tcPr>
            <w:tcW w:type="dxa" w:w="3402"/>
          </w:tcPr>
          <w:p>
            <w:r/>
            <w:r>
              <w:rPr>
                <w:rFonts w:ascii="Calibri" w:hAnsi="Calibri"/>
                <w:sz w:val="18"/>
              </w:rPr>
              <w:t>Prudence sur l’interprétation : avant-après sans groupe témoin → attribution causale incertaine ; apprentissage des « bonnes réponses » + désirabilité sociale ; suivi court → maintien inconnu</w:t>
            </w:r>
          </w:p>
        </w:tc>
        <w:tc>
          <w:tcPr>
            <w:tcW w:type="dxa" w:w="5896"/>
          </w:tcPr>
          <w:p>
            <w:r/>
            <w:r>
              <w:rPr>
                <w:rFonts w:ascii="Calibri" w:hAnsi="Calibri"/>
                <w:sz w:val="18"/>
              </w:rPr>
              <w:t>§1 de la réponse : accord complet, sans posture défensive. Renvoi aux limites déjà reconnues dans le mémoire (§5.1, §5.2, §5.7 ; conclusion formulée en « a été suivie de »). Chiffres cités avec prudence (pratiques 65,57 % → 86,08 % ; GEE ORa = 3,31) présentés comme association temporelle. Triangulation questionnaire/observation/entretiens = nuance, pas preuve. Suivi = 21 séances + 2 semaines via les relais → « action » oui, « maintien » non confirmé. Proposition de relire la formulation du paragraphe du rapport OVILAC.</w:t>
            </w:r>
          </w:p>
        </w:tc>
      </w:tr>
      <w:tr>
        <w:tc>
          <w:tcPr>
            <w:tcW w:type="dxa" w:w="3402"/>
          </w:tcPr>
          <w:p>
            <w:r/>
            <w:r>
              <w:rPr>
                <w:rFonts w:ascii="Calibri" w:hAnsi="Calibri"/>
                <w:sz w:val="18"/>
              </w:rPr>
              <w:t>Valeur ajoutée surtout dans le diagnostic initial ; décrire chaque contrainte séparément plutôt que le score environnemental composite « tout ou rien »</w:t>
            </w:r>
          </w:p>
        </w:tc>
        <w:tc>
          <w:tcPr>
            <w:tcW w:type="dxa" w:w="5896"/>
          </w:tcPr>
          <w:p>
            <w:r/>
            <w:r>
              <w:rPr>
                <w:rFonts w:ascii="Calibri" w:hAnsi="Calibri"/>
                <w:sz w:val="18"/>
              </w:rPr>
              <w:t>§2 de la réponse : accord complet. Explication du 0 % (aucune femme ne réunissait TOUTES les conditions à la fois ; règle stricte déjà signalée en §5.5). Liste des items déjà collectés (questionnaire + observation) permettant la ventilation demandée, avec distinction déclaratif/observé.</w:t>
            </w:r>
          </w:p>
        </w:tc>
      </w:tr>
      <w:tr>
        <w:tc>
          <w:tcPr>
            <w:tcW w:type="dxa" w:w="3402"/>
          </w:tcPr>
          <w:p>
            <w:r/>
            <w:r>
              <w:rPr>
                <w:rFonts w:ascii="Calibri" w:hAnsi="Calibri"/>
                <w:sz w:val="18"/>
              </w:rPr>
              <w:t>Extension possible : associations entre conditions structurelles et pratiques réelles ; différences entre villages / types de ménages — sans prétention causale</w:t>
            </w:r>
          </w:p>
        </w:tc>
        <w:tc>
          <w:tcPr>
            <w:tcW w:type="dxa" w:w="5896"/>
          </w:tcPr>
          <w:p>
            <w:r/>
            <w:r>
              <w:rPr>
                <w:rFonts w:ascii="Calibri" w:hAnsi="Calibri"/>
                <w:sz w:val="18"/>
              </w:rPr>
              <w:t>§3 de la réponse : intérêt affirmé + proposition en 3 volets (prévalences item par item ; associations conditions → pratiques globales et spécifiques ; ventilations village/arrondissement et type de ménage). Piste déjà présente : moyens de couvrir les aliments (ORa = 3,64 avant et après). Précautions : vérification de la base, plan d’analyse validé, petits effectifs par village, modèles actuels sans ajustement village/arrondissement. Questions posées : priorités, échéance, format, langue.</w:t>
            </w:r>
          </w:p>
        </w:tc>
      </w:tr>
      <w:tr>
        <w:tc>
          <w:tcPr>
            <w:tcW w:type="dxa" w:w="3402"/>
          </w:tcPr>
          <w:p>
            <w:r/>
            <w:r>
              <w:rPr>
                <w:rFonts w:ascii="Calibri" w:hAnsi="Calibri"/>
                <w:sz w:val="18"/>
              </w:rPr>
              <w:t>« Seulement des idées si cela vous intéresse » ; mémoire déjà soutenu, pas de demande de révision</w:t>
            </w:r>
          </w:p>
        </w:tc>
        <w:tc>
          <w:tcPr>
            <w:tcW w:type="dxa" w:w="5896"/>
          </w:tcPr>
          <w:p>
            <w:r/>
            <w:r>
              <w:rPr>
                <w:rFonts w:ascii="Calibri" w:hAnsi="Calibri"/>
                <w:sz w:val="18"/>
              </w:rPr>
              <w:t>Remerciement explicite pour cette précision, puis « oui » clair : travail proposé sous forme de note complémentaire distincte du mémoire soutenu, sous l’orientation de la Professeure Colette — donc sans rouvrir le mémoire.</w:t>
            </w:r>
          </w:p>
        </w:tc>
      </w:tr>
      <w:tr>
        <w:tc>
          <w:tcPr>
            <w:tcW w:type="dxa" w:w="3402"/>
          </w:tcPr>
          <w:p>
            <w:r/>
            <w:r>
              <w:rPr>
                <w:rFonts w:ascii="Calibri" w:hAnsi="Calibri"/>
                <w:sz w:val="18"/>
              </w:rPr>
              <w:t>Photos de l’intervention introuvables dans le mémoire → à partager pour les annexes du rapport OVILAC</w:t>
            </w:r>
          </w:p>
        </w:tc>
        <w:tc>
          <w:tcPr>
            <w:tcW w:type="dxa" w:w="5896"/>
          </w:tcPr>
          <w:p>
            <w:r/>
            <w:r>
              <w:rPr>
                <w:rFonts w:ascii="Calibri" w:hAnsi="Calibri"/>
                <w:sz w:val="18"/>
              </w:rPr>
              <w:t>§4 de la réponse : excuses (présentation peu visible). Fait vérifié : des photos figurent bien en Annexe 10 de « MEMOIRE FINALE CORRIGE.docx » (10 photos de terrain extraites et jointes séparément). Envoi d’une sélection + légendes proposées, offre des originaux en meilleure résolution et des flipcharts de l’Annexe 11, question sur le cadre de diffusion (personnes reconnaissables).</w:t>
            </w:r>
          </w:p>
        </w:tc>
      </w:tr>
    </w:tbl>
    <w:p/>
    <w:p>
      <w:pPr>
        <w:pStyle w:val="Heading2"/>
      </w:pPr>
      <w:r>
        <w:t>A.3. À vérifier / personnaliser avant l’envoi (check-list)</w:t>
      </w:r>
    </w:p>
    <w:p>
      <w:pPr>
        <w:pStyle w:val="ListBullet"/>
      </w:pPr>
      <w:r>
        <w:rPr>
          <w:b/>
        </w:rPr>
        <w:t xml:space="preserve">Délai d’une semaine : </w:t>
      </w:r>
      <w:r>
        <w:t>la justification proposée (« relire attentivement, confronter au mémoire, préparer les photos ») est sobre et professionnelle. Si une raison personnelle précise a aussi joué (terrain, obligations professionnelles/familiales, santé, connectivité…), tu peux l’ajouter en une courte proposition — sans te justifier longuement.</w:t>
      </w:r>
    </w:p>
    <w:p>
      <w:pPr>
        <w:pStyle w:val="ListBullet"/>
      </w:pPr>
      <w:r>
        <w:rPr>
          <w:b/>
        </w:rPr>
        <w:t xml:space="preserve">Version du mémoire reçue par Marijke : </w:t>
      </w:r>
      <w:r>
        <w:t>si elle a lu une version antérieure/différente de « MEMOIRE FINALE CORRIGE.docx », précise-le (« dans la version finale corrigée que je vous (re)transmets… ») et joins éventuellement le fichier final. Sinon, la phrase actuelle (« dans la version finale corrigée du mémoire ») suffit.</w:t>
      </w:r>
    </w:p>
    <w:p>
      <w:pPr>
        <w:pStyle w:val="ListBullet"/>
      </w:pPr>
      <w:r>
        <w:rPr>
          <w:b/>
        </w:rPr>
        <w:t xml:space="preserve">Photos — originaux : </w:t>
      </w:r>
      <w:r>
        <w:t>les 10 photos jointes ici sont extraites du fichier Word (environ 460–810 px de large, sans métadonnées EXIF). Elles suffisent pour une annexe imprimée en petit format, mais tes fichiers originaux (téléphone) seront de meilleure qualité : remplace-les dans le dossier si tu les as, en gardant les mêmes noms, ou garde la phrase proposée offrant les originaux.</w:t>
      </w:r>
    </w:p>
    <w:p>
      <w:pPr>
        <w:pStyle w:val="ListBullet"/>
      </w:pPr>
      <w:r>
        <w:rPr>
          <w:b/>
        </w:rPr>
        <w:t xml:space="preserve">Photos — villages et dates : </w:t>
      </w:r>
      <w:r>
        <w:t>les légendes ne nomment volontairement aucun village précis (impossible à déduire des fichiers extraits). Complète village/date depuis tes originaux/notes de terrain avant envoi, ou laisse les légendes génériques « Sô-Ava, 2026 ». N’attribue jamais un village au hasard.</w:t>
      </w:r>
    </w:p>
    <w:p>
      <w:pPr>
        <w:pStyle w:val="ListBullet"/>
      </w:pPr>
      <w:r>
        <w:rPr>
          <w:b/>
        </w:rPr>
        <w:t xml:space="preserve">Photos — personnes reconnaissables / accord : </w:t>
      </w:r>
      <w:r>
        <w:t>plusieurs photos montrent des femmes et des enfants identifiables. Le mémoire documente le consentement libre et éclairé à participer à l’étude, mais vérifie si un accord spécifique pour la prise et la diffusion d’images avait été prévu. À défaut, conserve dans le courriel la question sur le cadre de diffusion (interne vs public) et, si diffusion large, envisage de privilégier les photos les moins identifiantes. Voir sélection conseillée en Section D.</w:t>
      </w:r>
    </w:p>
    <w:p>
      <w:pPr>
        <w:pStyle w:val="ListBullet"/>
      </w:pPr>
      <w:r>
        <w:rPr>
          <w:b/>
        </w:rPr>
        <w:t xml:space="preserve">Disponibilité pour les analyses complémentaires : </w:t>
      </w:r>
      <w:r>
        <w:t>la réponse dit « oui » et demande priorités/échéance/format sans promettre de date. Si ta disponibilité est limitée, ajoute une phrase honnête sur ton calendrier (voir variantes en Section E). Ne promets les analyses que si tu as bien accès à la base item par item (fichiers Excel/Stata) — d’où l’étape de « vérification de la base » intégrée à la réponse.</w:t>
      </w:r>
    </w:p>
    <w:p>
      <w:pPr>
        <w:pStyle w:val="ListBullet"/>
      </w:pPr>
      <w:r>
        <w:rPr>
          <w:b/>
        </w:rPr>
        <w:t xml:space="preserve">Validation par la Professeure Colette : </w:t>
      </w:r>
      <w:r>
        <w:t>la réponse la place en destinataire et conditionne la suite à son orientation. Selon tes habitudes avec elle, tu peux aussi lui transmettre le projet de réponse en privé pour une validation rapide — mais cela ajouterait un délai : la formulation actuelle te permet d’envoyer directement en « répondre à tous ».</w:t>
      </w:r>
    </w:p>
    <w:p>
      <w:pPr>
        <w:pStyle w:val="ListBullet"/>
      </w:pPr>
      <w:r>
        <w:rPr>
          <w:b/>
        </w:rPr>
        <w:t xml:space="preserve">Signature : </w:t>
      </w:r>
      <w:r>
        <w:t>ajoute si tu le souhaites ton affiliation actuelle, ton téléphone et ton adresse e-mail professionnelle sous la signature proposée.</w:t>
      </w:r>
    </w:p>
    <w:p>
      <w:pPr>
        <w:pStyle w:val="Heading2"/>
      </w:pPr>
      <w:r>
        <w:t>A.4. Rappel des éléments factuels du mémoire utilisés dans la réponse</w:t>
      </w:r>
    </w:p>
    <w:tbl>
      <w:tblPr>
        <w:tblStyle w:val="TableGrid"/>
        <w:tblW w:type="auto" w:w="0"/>
        <w:jc w:val="center"/>
        <w:tblLook w:firstColumn="1" w:firstRow="1" w:lastColumn="0" w:lastRow="0" w:noHBand="0" w:noVBand="1" w:val="04A0"/>
      </w:tblPr>
      <w:tblGrid>
        <w:gridCol w:w="4873"/>
        <w:gridCol w:w="4873"/>
      </w:tblGrid>
      <w:tr>
        <w:tc>
          <w:tcPr>
            <w:tcW w:type="dxa" w:w="2494"/>
            <w:shd w:fill="1F4E79" w:val="clear"/>
          </w:tcPr>
          <w:p>
            <w:r/>
            <w:r>
              <w:rPr>
                <w:rFonts w:ascii="Calibri" w:hAnsi="Calibri"/>
                <w:b/>
                <w:color w:val="FFFFFF"/>
                <w:sz w:val="18"/>
              </w:rPr>
              <w:t>Élément</w:t>
            </w:r>
          </w:p>
        </w:tc>
        <w:tc>
          <w:tcPr>
            <w:tcW w:type="dxa" w:w="6803"/>
            <w:shd w:fill="1F4E79" w:val="clear"/>
          </w:tcPr>
          <w:p>
            <w:r/>
            <w:r>
              <w:rPr>
                <w:rFonts w:ascii="Calibri" w:hAnsi="Calibri"/>
                <w:b/>
                <w:color w:val="FFFFFF"/>
                <w:sz w:val="18"/>
              </w:rPr>
              <w:t>Ce que dit le mémoire (pour ta relecture rapide)</w:t>
            </w:r>
          </w:p>
        </w:tc>
      </w:tr>
      <w:tr>
        <w:tc>
          <w:tcPr>
            <w:tcW w:type="dxa" w:w="2494"/>
          </w:tcPr>
          <w:p>
            <w:r/>
            <w:r>
              <w:rPr>
                <w:rFonts w:ascii="Calibri" w:hAnsi="Calibri"/>
                <w:sz w:val="18"/>
              </w:rPr>
              <w:t>Devis</w:t>
            </w:r>
          </w:p>
        </w:tc>
        <w:tc>
          <w:tcPr>
            <w:tcW w:type="dxa" w:w="6803"/>
          </w:tcPr>
          <w:p>
            <w:r/>
            <w:r>
              <w:rPr>
                <w:rFonts w:ascii="Calibri" w:hAnsi="Calibri"/>
                <w:sz w:val="18"/>
              </w:rPr>
              <w:t>Quasi expérimentale avant-après sans groupe témoin, approche quantitative et qualitative (§3.2). Mêmes 424 femmes appariées ; tests exacts de McNemar sur scores composites dichotomiques ; régressions logistiques ; modèle GEE (§3.6).</w:t>
            </w:r>
          </w:p>
        </w:tc>
      </w:tr>
      <w:tr>
        <w:tc>
          <w:tcPr>
            <w:tcW w:type="dxa" w:w="2494"/>
          </w:tcPr>
          <w:p>
            <w:r/>
            <w:r>
              <w:rPr>
                <w:rFonts w:ascii="Calibri" w:hAnsi="Calibri"/>
                <w:sz w:val="18"/>
              </w:rPr>
              <w:t>Population / terrain</w:t>
            </w:r>
          </w:p>
        </w:tc>
        <w:tc>
          <w:tcPr>
            <w:tcW w:type="dxa" w:w="6803"/>
          </w:tcPr>
          <w:p>
            <w:r/>
            <w:r>
              <w:rPr>
                <w:rFonts w:ascii="Calibri" w:hAnsi="Calibri"/>
                <w:sz w:val="18"/>
              </w:rPr>
              <w:t>424 femmes impliquées habituellement dans la préparation/manipulation des aliments ; 21 villages (3 par arrondissement × 7 arrondissements), allocation proportionnelle (RGPH-4, population féminine totale 36 756 ; cible 422, effectif final 424) (§3.3–3.4, Annexes 5–6). Âge médian 30 ans ; 93,40 % mariées ; 85,61 % sans instruction ; 86,79 % commerçantes ; ménage médian 6 personnes (§4.1).</w:t>
            </w:r>
          </w:p>
        </w:tc>
      </w:tr>
      <w:tr>
        <w:tc>
          <w:tcPr>
            <w:tcW w:type="dxa" w:w="2494"/>
          </w:tcPr>
          <w:p>
            <w:r/>
            <w:r>
              <w:rPr>
                <w:rFonts w:ascii="Calibri" w:hAnsi="Calibri"/>
                <w:sz w:val="18"/>
              </w:rPr>
              <w:t>Intervention</w:t>
            </w:r>
          </w:p>
        </w:tc>
        <w:tc>
          <w:tcPr>
            <w:tcW w:type="dxa" w:w="6803"/>
          </w:tcPr>
          <w:p>
            <w:r/>
            <w:r>
              <w:rPr>
                <w:rFonts w:ascii="Calibri" w:hAnsi="Calibri"/>
                <w:sz w:val="18"/>
              </w:rPr>
              <w:t>21 séances participatives (1 par village, sur 2 jours) : causeries, échanges interactifs, démonstrations avec matériels locaux (lavage des mains aux moments critiques, eau propre, protection des aliments, ustensiles, réchauffage, espace de préparation, déchets) ; puis 2 semaines de suivi par les relais communautaires, supervision téléphonique tous les 3 jours (§3.5, Annexe 7).</w:t>
            </w:r>
          </w:p>
        </w:tc>
      </w:tr>
      <w:tr>
        <w:tc>
          <w:tcPr>
            <w:tcW w:type="dxa" w:w="2494"/>
          </w:tcPr>
          <w:p>
            <w:r/>
            <w:r>
              <w:rPr>
                <w:rFonts w:ascii="Calibri" w:hAnsi="Calibri"/>
                <w:sz w:val="18"/>
              </w:rPr>
              <w:t>Résultats principaux</w:t>
            </w:r>
          </w:p>
        </w:tc>
        <w:tc>
          <w:tcPr>
            <w:tcW w:type="dxa" w:w="6803"/>
          </w:tcPr>
          <w:p>
            <w:r/>
            <w:r>
              <w:rPr>
                <w:rFonts w:ascii="Calibri" w:hAnsi="Calibri"/>
                <w:sz w:val="18"/>
              </w:rPr>
              <w:t>Connaissances 7,78 % → 58,96 % ; attitudes 58,02 % → 84,67 % ; perceptions 2,83 % → 58,25 % ; pratiques 65,57 % → 86,08 % (toutes p &lt; 0,001) ; score environnemental strict 0 % → 0 % (p = 1,000) (§4.2, §4.5). GEE : période post-intervention ORa = 3,31 (IC95 % 2,60–4,22) (§4.9). Stade « action » 65,57 % → 86,08 % ; « maintien » non підтверmé (§4.3).</w:t>
            </w:r>
          </w:p>
        </w:tc>
      </w:tr>
      <w:tr>
        <w:tc>
          <w:tcPr>
            <w:tcW w:type="dxa" w:w="2494"/>
          </w:tcPr>
          <w:p>
            <w:r/>
            <w:r>
              <w:rPr>
                <w:rFonts w:ascii="Calibri" w:hAnsi="Calibri"/>
                <w:sz w:val="18"/>
              </w:rPr>
              <w:t>Facteurs associés (utile pour la suite)</w:t>
            </w:r>
          </w:p>
        </w:tc>
        <w:tc>
          <w:tcPr>
            <w:tcW w:type="dxa" w:w="6803"/>
          </w:tcPr>
          <w:p>
            <w:r/>
            <w:r>
              <w:rPr>
                <w:rFonts w:ascii="Calibri" w:hAnsi="Calibri"/>
                <w:sz w:val="18"/>
              </w:rPr>
              <w:t>Attitudes favorables (ORa 6,28 avant ; 11,19 après) ; perceptions après (ORa 40,47, IC très large → prudence) ; moyens de couvrir les aliments (ORa 3,64 avant ET après) (§4.6–4.7). Parmi les 146 femmes défavorables au départ, 87 (59,59 %) se sont améliorées (§4.8).</w:t>
            </w:r>
          </w:p>
        </w:tc>
      </w:tr>
      <w:tr>
        <w:tc>
          <w:tcPr>
            <w:tcW w:type="dxa" w:w="2494"/>
          </w:tcPr>
          <w:p>
            <w:r/>
            <w:r>
              <w:rPr>
                <w:rFonts w:ascii="Calibri" w:hAnsi="Calibri"/>
                <w:sz w:val="18"/>
              </w:rPr>
              <w:t>Limites déjà écrites</w:t>
            </w:r>
          </w:p>
        </w:tc>
        <w:tc>
          <w:tcPr>
            <w:tcW w:type="dxa" w:w="6803"/>
          </w:tcPr>
          <w:p>
            <w:r/>
            <w:r>
              <w:rPr>
                <w:rFonts w:ascii="Calibri" w:hAnsi="Calibri"/>
                <w:sz w:val="18"/>
              </w:rPr>
              <w:t>« L’absence de groupe témoin ne permet pas d’attribuer avec certitude tous les changements observés à l’intervention. Les réponses déclarées peuvent avoir été influencées par la désirabilité sociale. La courte durée de suivi ne permet pas de confirmer le maintien des changements à long terme. » (§5.2) — exactement les trois points de Marijke.</w:t>
            </w:r>
          </w:p>
        </w:tc>
      </w:tr>
      <w:tr>
        <w:tc>
          <w:tcPr>
            <w:tcW w:type="dxa" w:w="2494"/>
          </w:tcPr>
          <w:p>
            <w:r/>
            <w:r>
              <w:rPr>
                <w:rFonts w:ascii="Calibri" w:hAnsi="Calibri"/>
                <w:sz w:val="18"/>
              </w:rPr>
              <w:t>Score environnemental</w:t>
            </w:r>
          </w:p>
        </w:tc>
        <w:tc>
          <w:tcPr>
            <w:tcW w:type="dxa" w:w="6803"/>
          </w:tcPr>
          <w:p>
            <w:r/>
            <w:r>
              <w:rPr>
                <w:rFonts w:ascii="Calibri" w:hAnsi="Calibri"/>
                <w:sz w:val="18"/>
              </w:rPr>
              <w:t>Règle « tout ou rien » (§3.6) : favorable seulement si TOUS les items = 1. « Il ne signifie donc pas que toutes les conditions environnementales étaient absentes ou inchangées individuellement » (§5.1 ; voir aussi §5.5).</w:t>
            </w:r>
          </w:p>
        </w:tc>
      </w:tr>
      <w:tr>
        <w:tc>
          <w:tcPr>
            <w:tcW w:type="dxa" w:w="2494"/>
          </w:tcPr>
          <w:p>
            <w:r/>
            <w:r>
              <w:rPr>
                <w:rFonts w:ascii="Calibri" w:hAnsi="Calibri"/>
                <w:sz w:val="18"/>
              </w:rPr>
              <w:t>Variables item par item disponibles</w:t>
            </w:r>
          </w:p>
        </w:tc>
        <w:tc>
          <w:tcPr>
            <w:tcW w:type="dxa" w:w="6803"/>
          </w:tcPr>
          <w:p>
            <w:r/>
            <w:r>
              <w:rPr>
                <w:rFonts w:ascii="Calibri" w:hAnsi="Calibri"/>
                <w:sz w:val="18"/>
              </w:rPr>
              <w:t>Dictionnaire des variables (Annexe 4) : source d’eau de boisson (lac/forage/puits/robinet…), disponibilité eau, savon, dispositif de lavage des mains, latrine, gestion des déchets, espace de préparation, propreté des ustensiles, stockage/couverture des aliments + pratiques item par item (lavage des mains, eau propre, protection, réchauffage, fruits/légumes…). Base exportée sous Excel, analysée sous Stata (§3.6).</w:t>
            </w:r>
          </w:p>
        </w:tc>
      </w:tr>
      <w:tr>
        <w:tc>
          <w:tcPr>
            <w:tcW w:type="dxa" w:w="2494"/>
          </w:tcPr>
          <w:p>
            <w:r/>
            <w:r>
              <w:rPr>
                <w:rFonts w:ascii="Calibri" w:hAnsi="Calibri"/>
                <w:sz w:val="18"/>
              </w:rPr>
              <w:t>Point de méthode à discuter</w:t>
            </w:r>
          </w:p>
        </w:tc>
        <w:tc>
          <w:tcPr>
            <w:tcW w:type="dxa" w:w="6803"/>
          </w:tcPr>
          <w:p>
            <w:r/>
            <w:r>
              <w:rPr>
                <w:rFonts w:ascii="Calibri" w:hAnsi="Calibri"/>
                <w:sz w:val="18"/>
              </w:rPr>
              <w:t>« Aucun village et aucun arrondissement n’a été introduit comme variable d’ajustement. Aucune correction des erreurs standards par village ou arrondissement n’a été appliquée. » (§3.6) → à traiter dans les analyses complémentaires (grappes, petits effectifs par village : de 4 à 68 femmes selon l’Annexe 6).</w:t>
            </w:r>
          </w:p>
        </w:tc>
      </w:tr>
      <w:tr>
        <w:tc>
          <w:tcPr>
            <w:tcW w:type="dxa" w:w="2494"/>
          </w:tcPr>
          <w:p>
            <w:r/>
            <w:r>
              <w:rPr>
                <w:rFonts w:ascii="Calibri" w:hAnsi="Calibri"/>
                <w:sz w:val="18"/>
              </w:rPr>
              <w:t>Photos / supports</w:t>
            </w:r>
          </w:p>
        </w:tc>
        <w:tc>
          <w:tcPr>
            <w:tcW w:type="dxa" w:w="6803"/>
          </w:tcPr>
          <w:p>
            <w:r/>
            <w:r>
              <w:rPr>
                <w:rFonts w:ascii="Calibri" w:hAnsi="Calibri"/>
                <w:sz w:val="18"/>
              </w:rPr>
              <w:t>Annexe 10 : « Photos des activités de terrain » (10 photos : séances d’éducation et observations). Annexe 11 : outils pédagogiques (flipcharts modules 1 à 4 et « eau/ustensiles/espace propres », fiches-conseils).</w:t>
            </w:r>
          </w:p>
        </w:tc>
      </w:tr>
    </w:tbl>
    <w:p/>
    <w:p>
      <w:r>
        <w:br w:type="page"/>
      </w:r>
    </w:p>
    <w:p>
      <w:pPr>
        <w:pStyle w:val="Heading1"/>
      </w:pPr>
      <w:r>
        <w:t>Section B — Réponse détaillée en français (prête à copier-coller)</w:t>
      </w:r>
    </w:p>
    <w:p>
      <w:r>
        <w:rPr>
          <w:i/>
        </w:rPr>
        <w:t>À envoyer en « Répondre à tous » (Marijke + Professeure Colette), avec en pièces jointes le dossier de photos et la liste des légendes.</w:t>
      </w:r>
    </w:p>
    <w:p>
      <w:r>
        <w:rPr>
          <w:b/>
          <w:sz w:val="22"/>
        </w:rPr>
        <w:t>Objet : Re : Mémoire sur l’éducation à l’hygiène hydro-fécale et alimentaire à Sô-Ava – merci pour votre lecture attentive et vos Suggestions pour OVILAC</w:t>
      </w:r>
    </w:p>
    <w:p>
      <w:r>
        <w:t>Chère Marijke, Chère Professeure Colette,</w:t>
      </w:r>
    </w:p>
    <w:p>
      <w:r>
        <w:t>Je vous prie tout d’abord de bien vouloir m’excuser pour cette réponse tardive, qui vous parvient une semaine après votre message. Ce délai ne traduit en aucune façon un manque d’intérêt, bien au contraire : je tenais à relire attentivement chacun de vos commentaires, à les confronter aux passages correspondants du mémoire et à préparer les photos demandées, afin de vous répondre de manière aussi complète et utile que possible. Je vous remercie sincèrement pour votre compréhension.</w:t>
      </w:r>
    </w:p>
    <w:p>
      <w:r>
        <w:t>Merci infiniment, Marijke, d’avoir pris le temps, malgré ces mois très chargés, de lire le mémoire avec autant d’attention. Il n’y a bien sûr aucune raison de vous excuser, ni pour le délai, ni pour l’anglais. Je regrette évidemment que vous n’ayez pas pu en prendre connaissance avant la soutenance — vos remarques auraient certainement enrichi la discussion — mais je suis très heureuse qu’elles puissent aujourd’hui contribuer au reporting et à la suite du projet OVILAC. Vos appréciations sur l’ampleur du travail et son utilité me touchent beaucoup. Les 424 femmes suivies dans 21 villages des sept arrondissements de Sô-Ava ont représenté un effort de terrain important, dans un contexte lacustre où les déplacements, la mobilisation des participantes et les conditions climatiques ont souvent compliqué la mise en œuvre. Savoir que ce diagnostic détaillé des conditions d’eau, d’assainissement et d’hygiène peut être utile à OVILAC est pour moi une grande satisfaction.</w:t>
      </w:r>
    </w:p>
    <w:p>
      <w:r>
        <w:rPr>
          <w:b/>
          <w:color w:val="1F4E79"/>
        </w:rPr>
        <w:t>1. Sur l’interprétation de l’intervention éducative : je partage entièrement votre prudence</w:t>
      </w:r>
    </w:p>
    <w:p>
      <w:r>
        <w:t>Votre remarque sur l’interprétation causale est tout à fait juste, et je vous remercie de la formuler aussi clairement. Il s’agit bien d’une étude quasi expérimentale avant-après sans groupe témoin, menée chez les mêmes 424 femmes. Les évolutions observées entre l’évaluation initiale et l’évaluation finale — par exemple le passage des pratiques favorables de 65,57 % à 86,08 %, ou l’odds ratio ajusté de 3,31 dans le modèle longitudinal (GEE) — montrent que l’amélioration persiste après ajustement sur plusieurs caractéristiques sociodémographiques, mais elles ne permettent pas d’attribuer avec certitude l’ensemble du changement à la seule intervention éducative. Comme vous le soulignez, le fait que les participantes aient appris quelles étaient les réponses « correctes », la désirabilité sociale, et d’éventuelles influences survenues entre les deux mesures peuvent avoir contribué aux différences observées.</w:t>
      </w:r>
    </w:p>
    <w:p>
      <w:r>
        <w:t>Nous avions essayé d’en tenir compte dans la rédaction : le résumé et la conclusion décrivent des améliorations « suivies » par l’intervention plutôt qu’un effet causal démontré, et la discussion (notamment §5.1, §5.2 et §5.7) mentionne explicitement l’absence de groupe témoin, le biais possible de désirabilité sociale et la courte durée du suivi. La triangulation entre le questionnaire, l’observation directe dans les ménages et les entretiens visait précisément à limiter ce biais déclaratif. Elle nous a d’ailleurs permis de nuancer les résultats du questionnaire : les observations ont montré que certaines conditions réelles restaient défavorables malgré l’amélioration déclarée, et que les changements concernaient surtout les gestes directement réalisables par les femmes, comme le lavage des mains et la protection des aliments. Cette triangulation renforce la crédibilité de la tendance observée, mais elle ne supprime évidemment pas les limites que vous rappelez.</w:t>
      </w:r>
    </w:p>
    <w:p>
      <w:r>
        <w:t>Je suis également d’accord sur le suivi : les 21 séances ont été mises en œuvre village par village, suivies de deux semaines d’accompagnement par les relais communautaires, puis de l’évaluation finale. Ce délai permet de parler d’un passage vers l’« action », mais pas de confirmer le stade de « maintien ». Un suivi à moyen et long terme figure d’ailleurs parmi les perspectives du mémoire. Pour le rapport OVILAC, je suis donc tout à fait favorable à une formulation prudente — décrire les évolutions observées après l’intervention chez les mêmes femmes, sans affirmer qu’elles sont entièrement causées par celle-ci — et je serai volontiers disponible pour relire ou aider à formuler le paragraphe correspondant si cela peut être utile.</w:t>
      </w:r>
    </w:p>
    <w:p>
      <w:r>
        <w:rPr>
          <w:b/>
          <w:color w:val="1F4E79"/>
        </w:rPr>
        <w:t>2. Sur la valeur du diagnostic initial et les limites du score environnemental composite</w:t>
      </w:r>
    </w:p>
    <w:p>
      <w:r>
        <w:t>Je partage aussi votre lecture selon laquelle la principale valeur ajoutée de l’étude pour OVILAC réside probablement dans la richesse du diagnostic initial : accès difficile à une eau sûre et recours à l’eau du lac, insuffisance ou absence de latrines fonctionnelles, dispositifs de lavage des mains et savon souvent absents, gestion difficile des déchets, protection et conservation des aliments contraintes par les moyens disponibles. Ce sont ces contraintes pratiques, bien plus qu’une affirmation causale forte sur l’intervention, qui peuvent orienter les priorités du projet.</w:t>
      </w:r>
    </w:p>
    <w:p>
      <w:r>
        <w:t>Votre remarque sur le score environnemental « tout ou rien » est également très pertinente. Le fait que ce score strict soit resté à 0 % avant et après l’intervention ne signifie ni que chaque condition était absente, ni qu’aucun item n’a pu changer isolément : cela signifie seulement qu’aucune femme ne réunissait simultanément l’ensemble des conditions requises. Nous signalons cette sévérité de la règle de scorification dans la discussion (§5.5), mais vous avez raison : présenter séparément la prévalence de chaque contrainte serait beaucoup plus informatif pour OVILAC. Les données nécessaires ont été collectées item par item, par questionnaire et/ou par observation directe (source d’eau de boisson, disponibilité de l’eau, latrine, dispositif de lavage des mains, savon, gestion des déchets, espace de préparation, propreté des ustensiles, moyens de couvrir et de conserver les aliments). Les distinguer — en précisant pour chaque indicateur s’il est déclaratif ou observé — permettrait de hiérarchiser les contraintes plutôt que de les résumer en un seul score.</w:t>
      </w:r>
    </w:p>
    <w:p>
      <w:r>
        <w:rPr>
          <w:b/>
          <w:color w:val="1F4E79"/>
        </w:rPr>
        <w:t>3. Sur vos Suggestions d’analyses complémentaires : un intérêt réel, et une proposition concrète</w:t>
      </w:r>
    </w:p>
    <w:p>
      <w:r>
        <w:t>Je vous remercie de préciser que ces Suggestions ne constituent pas une demande de révision du mémoire soutenu. Je tiens néanmoins à vous dire qu’elles m’intéressent réellement, et que je serais heureuse, avec l’orientation de la Professeure Colette, de les poursuivre sous la forme d’une note analytique complémentaire distincte du mémoire, si cela est utile au reporting et à la programmation d’OVILAC.</w:t>
      </w:r>
    </w:p>
    <w:p>
      <w:r>
        <w:t>Concrètement, je verrais trois volets :</w:t>
      </w:r>
    </w:p>
    <w:p>
      <w:pPr>
        <w:pStyle w:val="ListBullet"/>
      </w:pPr>
      <w:r>
        <w:t>a) décrire, à partir de la situation initiale (et, si utile, après l’intervention), la prévalence de chaque contrainte séparément, au-delà du score composite;</w:t>
      </w:r>
    </w:p>
    <w:p>
      <w:pPr>
        <w:pStyle w:val="ListBullet"/>
      </w:pPr>
      <w:r>
        <w:t>b) examiner comment ces conditions structurelles sont associées aux pratiques — au score global comme aux pratiques spécifiques telles que le lavage des mains aux moments critiques, l’utilisation d’une eau propre pour préparer les aliments, la protection/couverture et le réchauffage des aliments, le lavage des ustensiles et des fruits et légumes. Le mémoire contient déjà une piste dans ce sens : disposer de moyens pour couvrir les aliments était associé à des pratiques plus favorables avant comme après l’intervention (OR ajusté de 3,64 dans les deux modèles). Une analyse item par item permettrait d’examiner de la même manière le rôle du dispositif de lavage des mains et du savon, de la source d’eau, de la latrine et de la gestion des déchets, et de réexaminer prudemment certaines associations contre-intuitives (concernant par exemple l’accès déclaré à une source d’eau) en vérifiant définitions, codage et facteurs de confusion — sans les interpréter comme causales;</w:t>
      </w:r>
    </w:p>
    <w:p>
      <w:pPr>
        <w:pStyle w:val="ListBullet"/>
      </w:pPr>
      <w:r>
        <w:t>c) explorer les différences selon les villages ou arrondissements et selon les types de ménages (habitat sur pilotis ou sur terre ferme, niveau d’instruction, activité, taille du ménage, par exemple). Les modèles du mémoire n’ajustaient ni sur le village ni sur l’arrondissement ; il faudrait donc discuter la prise en compte de la structure en grappes et rester prudent pour les villages à petits effectifs.;</w:t>
      </w:r>
    </w:p>
    <w:p>
      <w:r>
        <w:t>Avant de lancer ces analyses, je propose de vérifier l’exhaustivité et la qualité des variables item par item dans la base de données, puis de vous soumettre, ainsi qu’à la Professeure Colette, un court plan d’analyse (questions, indicateurs et tableaux attendus) pour validation. Pourriez-vous m’indiquer quelles questions sont prioritaires pour le reporting OVILAC, l’échéance envisagée, ainsi que le format qui vous serait le plus utile (note technique courte, tableaux et figures pour les annexes du rapport, fichier Excel de résultats, en français et/ou en anglais) ? Un bref échange à ce Sujet me serait précieux pour cibler au mieux ce travail.</w:t>
      </w:r>
    </w:p>
    <w:p>
      <w:r>
        <w:rPr>
          <w:b/>
          <w:color w:val="1F4E79"/>
        </w:rPr>
        <w:t>4. Sur les photos de l’intervention éducative</w:t>
      </w:r>
    </w:p>
    <w:p>
      <w:r>
        <w:t>Je suis désolée que les photos ne soient pas ressorties clairement à la lecture du document. Dans la version finale corrigée du mémoire, quelques photos des activités de terrain figurent en Annexe 10 (« Photos des activités de terrain »), mais elles y sont présentées de manière très succincte et en qualité compressée. Je vous joins donc séparément, avec ce message, une sélection de photos issues de cette annexe : des séances d’éducation avec les femmes autour des fiches-conseils et des supports visuels, des moments de démonstration et d’échanges, ainsi que des observations dans les ménages et auprès de points de vente d’aliments après l’intervention. Je joins également une liste avec des propositions de légendes. Si la résolution de ces fichiers extraits du document Word ne suffit pas pour le rapport, dites-le-moi : je pourrai vous transmettre les fichiers originaux, de meilleure qualité, et compléter les villages et dates exacts pour chaque image. Par ailleurs, si cela est utile pour les annexes d’OVILAC, je peux aussi vous transmettre séparément les supports pédagogiques utilisés pendant les séances (flipcharts présentés en Annexe 11 du mémoire), en les distinguant bien des photos de terrain.</w:t>
      </w:r>
    </w:p>
    <w:p>
      <w:r>
        <w:t>Certaines photos montrant des femmes et des enfants reconnaissables, je vous serais reconnaissante de me confirmer le cadre de diffusion prévu pour le rapport (usage interne au projet ou diffusion plus large), afin que nous retenions ensemble la sélection et les légendes les plus appropriées.</w:t>
      </w:r>
    </w:p>
    <w:p>
      <w:r>
        <w:t>Je vous remercie encore toutes les deux : vous, Marijke, pour cette lecture attentive, constructive et tournée vers l’utilité pratique pour OVILAC ; et vous, Professeure Colette, pour l’encadrement de ce travail. Je reste à votre entière disposition pour en discuter, préciser le plan d’analyse complémentaire selon vos priorités, et contribuer au reporting du projet.</w:t>
      </w:r>
    </w:p>
    <w:p>
      <w:r>
        <w:t>Bien cordialement,</w:t>
      </w:r>
    </w:p>
    <w:p>
      <w:r/>
      <w:r>
        <w:rPr>
          <w:b/>
        </w:rPr>
        <w:t>Marie-Edith Renata Arlene Marcelle GNACADJA</w:t>
      </w:r>
      <w:r>
        <w:br/>
      </w:r>
      <w:r>
        <w:t>Master en Santé Publique, spécialité Nutrition et Santé des Populations</w:t>
      </w:r>
    </w:p>
    <w:p>
      <w:r>
        <w:t>P.-S. — Pièces jointes : dossier « Photos_intervention_So-Ava_OVILAC » et liste des photos avec légendes proposées.</w:t>
      </w:r>
    </w:p>
    <w:p>
      <w:r>
        <w:br w:type="page"/>
      </w:r>
    </w:p>
    <w:p>
      <w:pPr>
        <w:pStyle w:val="Heading1"/>
      </w:pPr>
      <w:r>
        <w:t>Section C — Detailed reply in English (ready to copy and paste)</w:t>
      </w:r>
    </w:p>
    <w:p>
      <w:r>
        <w:rPr>
          <w:i/>
        </w:rPr>
        <w:t>Send via “Reply all” (Marijke + Professor Colette), with the photograph folder and caption list attached.</w:t>
      </w:r>
    </w:p>
    <w:p>
      <w:r>
        <w:rPr>
          <w:b/>
          <w:sz w:val="22"/>
        </w:rPr>
        <w:t>Subject: Re: Thesis on fecal-oral and food hygiene education in Sô-Ava – thank you for your careful reading and Suggestions for OVILAC</w:t>
      </w:r>
    </w:p>
    <w:p>
      <w:r>
        <w:t>Dear Marijke, Dear Professor Colette,</w:t>
      </w:r>
    </w:p>
    <w:p>
      <w:r>
        <w:t>Please accept my sincere apologies for this late reply, one week after your message. This delay in no way reflects a lack of interest — quite the opposite: I wanted to re-read each of your comments carefully, check them against the relevant passages of the thesis, and prepare the photographs, so that I could reply as fully and usefully as possible. Thank you very much for your understanding.</w:t>
      </w:r>
    </w:p>
    <w:p>
      <w:r>
        <w:t>Thank you so much, Marijke, for taking the time, despite these very busy months, to read the thesis so carefully. There is of course no need to apologise, either for the timing or for writing in English. I naturally regret that you were unable to read it before the defence — your comments would certainly have enriched the discussion — but I am very glad that they can now contribute to OVILAC’s reporting and next steps. I was deeply touched by your assessment of the scale of the work and its usefulness. Following the same 424 women in 21 villages across the seven arrondissements of Sô-Ava required substantial field effort in a lacustrine setting where travel, community mobilisation and weather conditions often complicated implementation. Knowing that this detailed picture of water, sanitation and hygiene conditions may be useful to OVILAC is a great source of satisfaction for me.</w:t>
      </w:r>
    </w:p>
    <w:p>
      <w:r>
        <w:rPr>
          <w:b/>
          <w:color w:val="1F4E79"/>
        </w:rPr>
        <w:t>1. On the interpretation of the educational intervention: I fully share your caution</w:t>
      </w:r>
    </w:p>
    <w:p>
      <w:r>
        <w:t>Your point about causal interpretation is entirely correct, and I am grateful to you for stating it so clearly. This was indeed a quasi-experimental, uncontrolled before-and-after study in the same 424 women. The changes observed between baseline and follow-up — for example, favourable practices increasing from 65.57% to 86.08%, or the adjusted odds ratio of 3.31 in the longitudinal (GEE) model — show that the improvement persists after adjustment for several sociodemographic characteristics, but they do not allow the whole change to be attributed with certainty to the educational intervention alone. As you note, the fact that respondents had learned what the “correct” answers were, social desirability, and other influences arising between the two measurements may all have contributed to the differences observed.</w:t>
      </w:r>
    </w:p>
    <w:p>
      <w:r>
        <w:t>We tried to reflect this in the writing: the abstract and conclusion describe improvements that “followed” the intervention rather than a demonstrated causal effect, and the discussion (notably §§5.1, 5.2 and 5.7) explicitly acknowledges the absence of a control group, possible social-desirability bias in reported answers, and the short follow-up period. Triangulation across the questionnaire, direct household observation and interviews was intended precisely to limit reliance on self-report. It also helped us qualify the questionnaire findings: observations showed that some real household conditions remained unfavourable despite reported improvements, and that change mainly concerned actions directly within the women’s control, such as handwashing and protecting food. This triangulation strengthens the credibility of the overall trend, but of course it does not remove the limitations you highlight.</w:t>
      </w:r>
    </w:p>
    <w:p>
      <w:r>
        <w:t>I also agree on follow-up: the 21 sessions were delivered village by village, followed by two weeks of follow-up by community relays and then the endline assessment. This allows us to speak of movement towards the “action” stage, but not to confirm “maintenance”. Medium- and longer-term follow-up is in fact one of the perspectives proposed in the thesis. For the OVILAC report, I therefore fully support careful wording — describing the changes observed after the intervention in the same women, without claiming that they were entirely caused by it — and I would be very happy to review or help phrase the relevant paragraph if that would be helpful.</w:t>
      </w:r>
    </w:p>
    <w:p>
      <w:r>
        <w:rPr>
          <w:b/>
          <w:color w:val="1F4E79"/>
        </w:rPr>
        <w:t>2. On the value of the baseline diagnosis and the limits of the composite environmental score</w:t>
      </w:r>
    </w:p>
    <w:p>
      <w:r>
        <w:t>I also share your view that the main added value of the study for OVILAC probably lies in the richness of the baseline diagnosis: difficult access to safe water and reliance on lake water, insufficient or absent functional latrines, handwashing devices and soap often unavailable, difficult waste management, and food protection and storage constrained by the means available in the household. These practical constraints, much more than a strong causal claim about the intervention, are what can guide the project’s priorities.</w:t>
      </w:r>
    </w:p>
    <w:p>
      <w:r>
        <w:t>Your comment on the “all-or-nothing” environmental score is equally relevant. The fact that this strict composite score remained at 0% before and after the intervention does not mean that every individual condition was absent, nor that no single item could have changed: it means only that no woman simultaneously met all of the required conditions. We note the severity of this scoring rule in the discussion (§5.5), but you are right: presenting the prevalence of each constraint separately would be far more informative for OVILAC. The necessary data were collected item by item, through the questionnaire and/or direct observation (drinking-water source, availability of water, latrine, handwashing device, soap, waste disposal, food-preparation area, cleanliness of utensils, and means of covering and storing food). Distinguishing these indicators — and stating for each one whether it was reported or observed — would make it possible to rank the constraints instead of summarising them in a single score.</w:t>
      </w:r>
    </w:p>
    <w:p>
      <w:r>
        <w:rPr>
          <w:b/>
          <w:color w:val="1F4E79"/>
        </w:rPr>
        <w:t>3. On your Suggestions for further analysis: real interest, and a concrete proposal</w:t>
      </w:r>
    </w:p>
    <w:p>
      <w:r>
        <w:t>Thank you for making clear that these Suggestions are not a request to revise the defended thesis. I nevertheless want to tell you that I am genuinely interested in them and would be pleased, under Professor Colette’s guidance, to pursue them in the form of a short complementary analytical note, distinct from the thesis, if this would be useful for OVILAC’s reporting and programming.</w:t>
      </w:r>
    </w:p>
    <w:p>
      <w:r>
        <w:t>Concretely, I would see three components:</w:t>
      </w:r>
    </w:p>
    <w:p>
      <w:pPr>
        <w:pStyle w:val="ListBullet"/>
      </w:pPr>
      <w:r>
        <w:t>(a) describing, from the baseline situation (and, if useful, after the intervention), the prevalence of each constraint separately, beyond the composite score;</w:t>
      </w:r>
    </w:p>
    <w:p>
      <w:pPr>
        <w:pStyle w:val="ListBullet"/>
      </w:pPr>
      <w:r>
        <w:t>(b) examining how these structural conditions are associated with practices — both the overall practice score and specific practices such as handwashing at critical moments, using clean water for food preparation, covering/protecting and reheating food, and washing utensils and fruits and vegetables. The thesis already contains one lead in this direction: having the means to cover food was associated with more favourable practices both before and after the intervention (adjusted OR of 3.64 in both models). An item-by-item analysis would allow the roles of a handwashing device and soap, water source, latrine and waste disposal to be examined in the same way, and some counter-intuitive associations (for example concerning reported access to a water source) to be carefully re-examined by checking definitions, coding and confounding — without interpreting them causally;</w:t>
      </w:r>
    </w:p>
    <w:p>
      <w:pPr>
        <w:pStyle w:val="ListBullet"/>
      </w:pPr>
      <w:r>
        <w:t>(c) exploring differences across villages or arrondissements and across household types (for example stilt housing versus housing on dry land, level of education, main activity, household size). The models in the thesis did not adjust for village or arrondissement, so the handling of clustering would need to be discussed, and results for villages with small numbers interpreted cautiously.;</w:t>
      </w:r>
    </w:p>
    <w:p>
      <w:r>
        <w:t>Before starting these analyses, I would propose to check the completeness and quality of the item-level variables in the database, and then to submit a short analysis plan (questions, indicators and expected tables) to you and to Professor Colette for approval. Could you let me know which questions are priorities for OVILAC’s reporting, the expected timeline, and the format that would be most useful to you (a short technical note, tables and figures for the report annexes, an Excel file of results, in English and/or French)? A brief discussion on this would be very valuable in helping me target this work as well as possible.</w:t>
      </w:r>
    </w:p>
    <w:p>
      <w:r>
        <w:rPr>
          <w:b/>
          <w:color w:val="1F4E79"/>
        </w:rPr>
        <w:t>4. On photographs of the educational intervention</w:t>
      </w:r>
    </w:p>
    <w:p>
      <w:r>
        <w:t>I am sorry that the photographs were not easy to find when reading the document. In the final corrected version of the thesis, a few photographs of the field activities do appear in Annex 10 (“Photos of field activities”), but they are presented very briefly there and in compressed quality. I am therefore attaching, separately with this message, a selection of photographs from that annex: educational sessions with women around the household advice sheets and visual aids, moments of demonstration and discussion, and observations in households and at food-selling points after the intervention. I also attach a list with proposed captions. If the resolution of these files extracted from the Word document is not sufficient for the report, please let me know: I can send you the original files in better quality and add the exact villages and dates for each image. In addition, if it would be useful for the OVILAC annexes, I can also send separately the teaching aids used during the sessions (the flipcharts presented in Annex 11 of the thesis), clearly distinguished from the field photographs.</w:t>
      </w:r>
    </w:p>
    <w:p>
      <w:r>
        <w:t>As some photographs show recognisable women and children, I would be grateful if you could confirm the intended dissemination context for the report (internal project use or wider dissemination), so that we can agree together on the most appropriate selection and captions.</w:t>
      </w:r>
    </w:p>
    <w:p>
      <w:r>
        <w:t>Thank you both once again: you, Marijke, for this careful, constructive reading focused on practical usefulness for OVILAC; and you, Professor Colette, for supervising this work. I remain fully available to discuss these points, to refine the complementary analysis plan according to your priorities, and to contribute to the project’s reporting.</w:t>
      </w:r>
    </w:p>
    <w:p>
      <w:r>
        <w:t>Kind regards,</w:t>
      </w:r>
    </w:p>
    <w:p>
      <w:r/>
      <w:r>
        <w:rPr>
          <w:b/>
        </w:rPr>
        <w:t>Marie-Edith Renata Arlene Marcelle GNACADJA</w:t>
      </w:r>
      <w:r>
        <w:br/>
      </w:r>
      <w:r>
        <w:t>Master’s in Public Health, specialisation in Nutrition and Population Health</w:t>
      </w:r>
    </w:p>
    <w:p>
      <w:r>
        <w:t>P.S. — Attachments: folder “Photos_intervention_So-Ava_OVILAC” and list of photographs with proposed captions.</w:t>
      </w:r>
    </w:p>
    <w:p>
      <w:r>
        <w:br w:type="page"/>
      </w:r>
    </w:p>
    <w:p>
      <w:pPr>
        <w:pStyle w:val="Heading1"/>
      </w:pPr>
      <w:r>
        <w:t>Section D — Photos pour le rapport OVILAC : inventaire et légendes proposées</w:t>
      </w:r>
    </w:p>
    <w:p>
      <w:r>
        <w:t>Les 10 photos ci-dessous sont celles de l’Annexe 10 du mémoire (« Photos des activités de terrain »), extraites du fichier « MEMOIRE FINALE CORRIGE.docx », renommées de façon descriptive et rassemblées dans le dossier « Photos_intervention_So-Ava_OVILAC » ainsi que dans l’archive « Photos_pour_rapport_OVILAC.zip ». Les fichiers extraits de Word ne contiennent plus de métadonnées (date/lieu) : complète les villages et dates à partir de tes fichiers originaux avant l’envoi, ou conserve des légendes génériques « Sô-Ava, 2026 ». Crédit proposé pour toutes les images : © M.-E. R. A. M. Gnacadja / OVILAC, Sô-Ava, 2026 (à valider).</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fill="1F4E79" w:val="clear"/>
          </w:tcPr>
          <w:p>
            <w:r/>
            <w:r>
              <w:rPr>
                <w:rFonts w:ascii="Calibri" w:hAnsi="Calibri"/>
                <w:b/>
                <w:color w:val="FFFFFF"/>
                <w:sz w:val="16"/>
              </w:rPr>
              <w:t>Fichier</w:t>
            </w:r>
          </w:p>
        </w:tc>
        <w:tc>
          <w:tcPr>
            <w:tcW w:type="dxa" w:w="3402"/>
            <w:shd w:fill="1F4E79" w:val="clear"/>
          </w:tcPr>
          <w:p>
            <w:r/>
            <w:r>
              <w:rPr>
                <w:rFonts w:ascii="Calibri" w:hAnsi="Calibri"/>
                <w:b/>
                <w:color w:val="FFFFFF"/>
                <w:sz w:val="16"/>
              </w:rPr>
              <w:t>Légende proposée (FR)</w:t>
            </w:r>
          </w:p>
        </w:tc>
        <w:tc>
          <w:tcPr>
            <w:tcW w:type="dxa" w:w="3402"/>
            <w:shd w:fill="1F4E79" w:val="clear"/>
          </w:tcPr>
          <w:p>
            <w:r/>
            <w:r>
              <w:rPr>
                <w:rFonts w:ascii="Calibri" w:hAnsi="Calibri"/>
                <w:b/>
                <w:color w:val="FFFFFF"/>
                <w:sz w:val="16"/>
              </w:rPr>
              <w:t>Proposed caption (EN)</w:t>
            </w:r>
          </w:p>
        </w:tc>
      </w:tr>
      <w:tr>
        <w:tc>
          <w:tcPr>
            <w:tcW w:type="dxa" w:w="2608"/>
          </w:tcPr>
          <w:p>
            <w:r/>
            <w:r>
              <w:rPr>
                <w:rFonts w:ascii="Calibri" w:hAnsi="Calibri"/>
                <w:sz w:val="16"/>
              </w:rPr>
              <w:t>01 — 01_Seance-education_femmes-fiches-conseils_demonstration-lavage-des-mains_So-Ava.jpg</w:t>
            </w:r>
          </w:p>
        </w:tc>
        <w:tc>
          <w:tcPr>
            <w:tcW w:type="dxa" w:w="3402"/>
          </w:tcPr>
          <w:p>
            <w:r/>
            <w:r>
              <w:rPr>
                <w:rFonts w:ascii="Calibri" w:hAnsi="Calibri"/>
                <w:sz w:val="16"/>
              </w:rPr>
              <w:t>Séance d’éducation à l’hygiène hydro-fécale et alimentaire : femmes consultant les fiches-conseils, avec le matériel de démonstration du lavage des mains au premier plan, village lacustre de Sô-Ava, 2026. [Village et date exacts à compléter]</w:t>
            </w:r>
          </w:p>
        </w:tc>
        <w:tc>
          <w:tcPr>
            <w:tcW w:type="dxa" w:w="3402"/>
          </w:tcPr>
          <w:p>
            <w:r/>
            <w:r>
              <w:rPr>
                <w:rFonts w:ascii="Calibri" w:hAnsi="Calibri"/>
                <w:sz w:val="16"/>
              </w:rPr>
              <w:t>Fecal-oral and food hygiene education session: women reviewing the household advice sheets, with handwashing demonstration materials in the foreground, lakeside village of Sô-Ava, 2026. [Exact village and date to be added]</w:t>
            </w:r>
          </w:p>
        </w:tc>
      </w:tr>
      <w:tr>
        <w:tc>
          <w:tcPr>
            <w:tcW w:type="dxa" w:w="2608"/>
          </w:tcPr>
          <w:p>
            <w:r/>
            <w:r>
              <w:rPr>
                <w:rFonts w:ascii="Calibri" w:hAnsi="Calibri"/>
                <w:sz w:val="16"/>
              </w:rPr>
              <w:t>02 — 02_Seance-education_support-visuel-sur-tablette_So-Ava.jpg</w:t>
            </w:r>
          </w:p>
        </w:tc>
        <w:tc>
          <w:tcPr>
            <w:tcW w:type="dxa" w:w="3402"/>
          </w:tcPr>
          <w:p>
            <w:r/>
            <w:r>
              <w:rPr>
                <w:rFonts w:ascii="Calibri" w:hAnsi="Calibri"/>
                <w:sz w:val="16"/>
              </w:rPr>
              <w:t>Séance d’éducation : une participante consulte un support pédagogique visuel sur tablette pendant que d’autres femmes lisent les fiches-conseils, habitat lacustre de Sô-Ava, 2026. [Village et date exacts à compléter]</w:t>
            </w:r>
          </w:p>
        </w:tc>
        <w:tc>
          <w:tcPr>
            <w:tcW w:type="dxa" w:w="3402"/>
          </w:tcPr>
          <w:p>
            <w:r/>
            <w:r>
              <w:rPr>
                <w:rFonts w:ascii="Calibri" w:hAnsi="Calibri"/>
                <w:sz w:val="16"/>
              </w:rPr>
              <w:t>Education session: a participant viewing a visual teaching aid on a tablet while other women read the advice sheets, lakeside dwelling in Sô-Ava, 2026. [Exact village and date to be added]</w:t>
            </w:r>
          </w:p>
        </w:tc>
      </w:tr>
      <w:tr>
        <w:tc>
          <w:tcPr>
            <w:tcW w:type="dxa" w:w="2608"/>
          </w:tcPr>
          <w:p>
            <w:r/>
            <w:r>
              <w:rPr>
                <w:rFonts w:ascii="Calibri" w:hAnsi="Calibri"/>
                <w:sz w:val="16"/>
              </w:rPr>
              <w:t>03 — 03_Seance-education_tablette-et-fiches-conseils_So-Ava.jpg</w:t>
            </w:r>
          </w:p>
        </w:tc>
        <w:tc>
          <w:tcPr>
            <w:tcW w:type="dxa" w:w="3402"/>
          </w:tcPr>
          <w:p>
            <w:r/>
            <w:r>
              <w:rPr>
                <w:rFonts w:ascii="Calibri" w:hAnsi="Calibri"/>
                <w:sz w:val="16"/>
              </w:rPr>
              <w:t>Discussion participative pendant une séance d’éducation à l’hygiène, autour des fiches-conseils ménages et d’un support visuel, Sô-Ava, 2026. [Village et date exacts à compléter]</w:t>
            </w:r>
          </w:p>
        </w:tc>
        <w:tc>
          <w:tcPr>
            <w:tcW w:type="dxa" w:w="3402"/>
          </w:tcPr>
          <w:p>
            <w:r/>
            <w:r>
              <w:rPr>
                <w:rFonts w:ascii="Calibri" w:hAnsi="Calibri"/>
                <w:sz w:val="16"/>
              </w:rPr>
              <w:t>Participatory discussion during a hygiene education session, around the household advice sheets and a visual aid, Sô-Ava, 2026. [Exact village and date to be added]</w:t>
            </w:r>
          </w:p>
        </w:tc>
      </w:tr>
      <w:tr>
        <w:tc>
          <w:tcPr>
            <w:tcW w:type="dxa" w:w="2608"/>
          </w:tcPr>
          <w:p>
            <w:r/>
            <w:r>
              <w:rPr>
                <w:rFonts w:ascii="Calibri" w:hAnsi="Calibri"/>
                <w:sz w:val="16"/>
              </w:rPr>
              <w:t>04 — 04_Seance-education_echanges-autour-des-supports_So-Ava.jpg</w:t>
            </w:r>
          </w:p>
        </w:tc>
        <w:tc>
          <w:tcPr>
            <w:tcW w:type="dxa" w:w="3402"/>
          </w:tcPr>
          <w:p>
            <w:r/>
            <w:r>
              <w:rPr>
                <w:rFonts w:ascii="Calibri" w:hAnsi="Calibri"/>
                <w:sz w:val="16"/>
              </w:rPr>
              <w:t>Échanges entre participantes autour des messages d’hygiène pendant une séance d’éducation, Sô-Ava, 2026. [Village et date exacts à compléter]</w:t>
            </w:r>
          </w:p>
        </w:tc>
        <w:tc>
          <w:tcPr>
            <w:tcW w:type="dxa" w:w="3402"/>
          </w:tcPr>
          <w:p>
            <w:r/>
            <w:r>
              <w:rPr>
                <w:rFonts w:ascii="Calibri" w:hAnsi="Calibri"/>
                <w:sz w:val="16"/>
              </w:rPr>
              <w:t>Participants discussing hygiene messages during an education session, Sô-Ava, 2026. [Exact village and date to be added]</w:t>
            </w:r>
          </w:p>
        </w:tc>
      </w:tr>
      <w:tr>
        <w:tc>
          <w:tcPr>
            <w:tcW w:type="dxa" w:w="2608"/>
          </w:tcPr>
          <w:p>
            <w:r/>
            <w:r>
              <w:rPr>
                <w:rFonts w:ascii="Calibri" w:hAnsi="Calibri"/>
                <w:sz w:val="16"/>
              </w:rPr>
              <w:t>05 — 05_Seance-education_groupe-de-femmes_habitat-lacustre_So-Ava.jpg</w:t>
            </w:r>
          </w:p>
        </w:tc>
        <w:tc>
          <w:tcPr>
            <w:tcW w:type="dxa" w:w="3402"/>
          </w:tcPr>
          <w:p>
            <w:r/>
            <w:r>
              <w:rPr>
                <w:rFonts w:ascii="Calibri" w:hAnsi="Calibri"/>
                <w:sz w:val="16"/>
              </w:rPr>
              <w:t>Groupe de femmes réunies pour une séance d’éducation à l’hygiène hydro-fécale et alimentaire dans un habitat lacustre, Sô-Ava, 2026. [Village et date exacts à compléter]</w:t>
            </w:r>
          </w:p>
        </w:tc>
        <w:tc>
          <w:tcPr>
            <w:tcW w:type="dxa" w:w="3402"/>
          </w:tcPr>
          <w:p>
            <w:r/>
            <w:r>
              <w:rPr>
                <w:rFonts w:ascii="Calibri" w:hAnsi="Calibri"/>
                <w:sz w:val="16"/>
              </w:rPr>
              <w:t>Group of women gathered for a fecal-oral and food hygiene education session in a lakeside dwelling, Sô-Ava, 2026. [Exact village and date to be added]</w:t>
            </w:r>
          </w:p>
        </w:tc>
      </w:tr>
      <w:tr>
        <w:tc>
          <w:tcPr>
            <w:tcW w:type="dxa" w:w="2608"/>
          </w:tcPr>
          <w:p>
            <w:r/>
            <w:r>
              <w:rPr>
                <w:rFonts w:ascii="Calibri" w:hAnsi="Calibri"/>
                <w:sz w:val="16"/>
              </w:rPr>
              <w:t>06 — 06_Observation_point-de-vente_aliments-dans-recipients-couverts_So-Ava.jpg</w:t>
            </w:r>
          </w:p>
        </w:tc>
        <w:tc>
          <w:tcPr>
            <w:tcW w:type="dxa" w:w="3402"/>
          </w:tcPr>
          <w:p>
            <w:r/>
            <w:r>
              <w:rPr>
                <w:rFonts w:ascii="Calibri" w:hAnsi="Calibri"/>
                <w:sz w:val="16"/>
              </w:rPr>
              <w:t>Observation après l’intervention : aliments conservés dans des récipients couverts sur un point de vente/préparation, Sô-Ava, 2026. [Village et date exacts à compléter]</w:t>
            </w:r>
          </w:p>
        </w:tc>
        <w:tc>
          <w:tcPr>
            <w:tcW w:type="dxa" w:w="3402"/>
          </w:tcPr>
          <w:p>
            <w:r/>
            <w:r>
              <w:rPr>
                <w:rFonts w:ascii="Calibri" w:hAnsi="Calibri"/>
                <w:sz w:val="16"/>
              </w:rPr>
              <w:t>Post-intervention observation: food stored in covered containers at a food-selling/preparation point, Sô-Ava, 2026. [Exact village and date to be added]</w:t>
            </w:r>
          </w:p>
        </w:tc>
      </w:tr>
      <w:tr>
        <w:tc>
          <w:tcPr>
            <w:tcW w:type="dxa" w:w="2608"/>
          </w:tcPr>
          <w:p>
            <w:r/>
            <w:r>
              <w:rPr>
                <w:rFonts w:ascii="Calibri" w:hAnsi="Calibri"/>
                <w:sz w:val="16"/>
              </w:rPr>
              <w:t>07 — 07_Observation_ustensiles-et-aliments-couverts_habitat-sur-pilotis_So-Ava.jpg</w:t>
            </w:r>
          </w:p>
        </w:tc>
        <w:tc>
          <w:tcPr>
            <w:tcW w:type="dxa" w:w="3402"/>
          </w:tcPr>
          <w:p>
            <w:r/>
            <w:r>
              <w:rPr>
                <w:rFonts w:ascii="Calibri" w:hAnsi="Calibri"/>
                <w:sz w:val="16"/>
              </w:rPr>
              <w:t>Observation dans un ménage : ustensiles et aliments couverts/protégés dans un habitat sur pilotis, Sô-Ava, 2026. [Village et date exacts à compléter]</w:t>
            </w:r>
          </w:p>
        </w:tc>
        <w:tc>
          <w:tcPr>
            <w:tcW w:type="dxa" w:w="3402"/>
          </w:tcPr>
          <w:p>
            <w:r/>
            <w:r>
              <w:rPr>
                <w:rFonts w:ascii="Calibri" w:hAnsi="Calibri"/>
                <w:sz w:val="16"/>
              </w:rPr>
              <w:t>Household observation: covered/protected utensils and food in a stilt dwelling, Sô-Ava, 2026. [Exact village and date to be added]</w:t>
            </w:r>
          </w:p>
        </w:tc>
      </w:tr>
      <w:tr>
        <w:tc>
          <w:tcPr>
            <w:tcW w:type="dxa" w:w="2608"/>
          </w:tcPr>
          <w:p>
            <w:r/>
            <w:r>
              <w:rPr>
                <w:rFonts w:ascii="Calibri" w:hAnsi="Calibri"/>
                <w:sz w:val="16"/>
              </w:rPr>
              <w:t>08 — 08_Observation_point-de-vente_repas-dans-recipients-couverts_So-Ava.jpg</w:t>
            </w:r>
          </w:p>
        </w:tc>
        <w:tc>
          <w:tcPr>
            <w:tcW w:type="dxa" w:w="3402"/>
          </w:tcPr>
          <w:p>
            <w:r/>
            <w:r>
              <w:rPr>
                <w:rFonts w:ascii="Calibri" w:hAnsi="Calibri"/>
                <w:sz w:val="16"/>
              </w:rPr>
              <w:t>Observation d’un point de vente de repas : récipients couverts et environnement de vente, Sô-Ava, 2026. [Village et date exacts à compléter]</w:t>
            </w:r>
          </w:p>
        </w:tc>
        <w:tc>
          <w:tcPr>
            <w:tcW w:type="dxa" w:w="3402"/>
          </w:tcPr>
          <w:p>
            <w:r/>
            <w:r>
              <w:rPr>
                <w:rFonts w:ascii="Calibri" w:hAnsi="Calibri"/>
                <w:sz w:val="16"/>
              </w:rPr>
              <w:t>Observation of a cooked-food selling point: covered containers and selling environment, Sô-Ava, 2026. [Exact village and date to be added]</w:t>
            </w:r>
          </w:p>
        </w:tc>
      </w:tr>
      <w:tr>
        <w:tc>
          <w:tcPr>
            <w:tcW w:type="dxa" w:w="2608"/>
          </w:tcPr>
          <w:p>
            <w:r/>
            <w:r>
              <w:rPr>
                <w:rFonts w:ascii="Calibri" w:hAnsi="Calibri"/>
                <w:sz w:val="16"/>
              </w:rPr>
              <w:t>09 — 09_Demonstration-et-echanges_hygiene-en-exterieur_So-Ava.jpg</w:t>
            </w:r>
          </w:p>
        </w:tc>
        <w:tc>
          <w:tcPr>
            <w:tcW w:type="dxa" w:w="3402"/>
          </w:tcPr>
          <w:p>
            <w:r/>
            <w:r>
              <w:rPr>
                <w:rFonts w:ascii="Calibri" w:hAnsi="Calibri"/>
                <w:sz w:val="16"/>
              </w:rPr>
              <w:t>Démonstration et échanges sur les pratiques d’hygiène avec des femmes, en extérieur, Sô-Ava, 2026. [Village et date exacts à compléter]</w:t>
            </w:r>
          </w:p>
        </w:tc>
        <w:tc>
          <w:tcPr>
            <w:tcW w:type="dxa" w:w="3402"/>
          </w:tcPr>
          <w:p>
            <w:r/>
            <w:r>
              <w:rPr>
                <w:rFonts w:ascii="Calibri" w:hAnsi="Calibri"/>
                <w:sz w:val="16"/>
              </w:rPr>
              <w:t>Outdoor demonstration and discussion of hygiene practices with women, Sô-Ava, 2026. [Exact village and date to be added]</w:t>
            </w:r>
          </w:p>
        </w:tc>
      </w:tr>
      <w:tr>
        <w:tc>
          <w:tcPr>
            <w:tcW w:type="dxa" w:w="2608"/>
          </w:tcPr>
          <w:p>
            <w:r/>
            <w:r>
              <w:rPr>
                <w:rFonts w:ascii="Calibri" w:hAnsi="Calibri"/>
                <w:sz w:val="16"/>
              </w:rPr>
              <w:t>10 — 10_Observation_vendeuse_recipients-couverts-et-eau_So-Ava.jpg</w:t>
            </w:r>
          </w:p>
        </w:tc>
        <w:tc>
          <w:tcPr>
            <w:tcW w:type="dxa" w:w="3402"/>
          </w:tcPr>
          <w:p>
            <w:r/>
            <w:r>
              <w:rPr>
                <w:rFonts w:ascii="Calibri" w:hAnsi="Calibri"/>
                <w:sz w:val="16"/>
              </w:rPr>
              <w:t>Observation auprès d’une vendeuse : récipients couverts et eau pour les usages d’hygiène, Sô-Ava, 2026. [Village et date exacts à compléter]</w:t>
            </w:r>
          </w:p>
        </w:tc>
        <w:tc>
          <w:tcPr>
            <w:tcW w:type="dxa" w:w="3402"/>
          </w:tcPr>
          <w:p>
            <w:r/>
            <w:r>
              <w:rPr>
                <w:rFonts w:ascii="Calibri" w:hAnsi="Calibri"/>
                <w:sz w:val="16"/>
              </w:rPr>
              <w:t>Observation with a food seller: covered containers and water for hygiene uses, Sô-Ava, 2026. [Exact village and date to be added]</w:t>
            </w:r>
          </w:p>
        </w:tc>
      </w:tr>
    </w:tbl>
    <w:p/>
    <w:p>
      <w:pPr>
        <w:pStyle w:val="Heading2"/>
      </w:pPr>
      <w:r>
        <w:t>Sélection conseillée si Marijke ne peut en retenir que 4 à 6</w:t>
      </w:r>
    </w:p>
    <w:p>
      <w:pPr>
        <w:pStyle w:val="ListBullet"/>
      </w:pPr>
      <w:r>
        <w:rPr>
          <w:b/>
        </w:rPr>
        <w:t xml:space="preserve">01 (séance + démonstration lavage des mains) : </w:t>
      </w:r>
      <w:r>
        <w:t>meilleure illustration d’ensemble d’une séance : femmes, fiches-conseils et bassines de démonstration du lavage des mains visibles.</w:t>
      </w:r>
    </w:p>
    <w:p>
      <w:pPr>
        <w:pStyle w:val="ListBullet"/>
      </w:pPr>
      <w:r>
        <w:rPr>
          <w:b/>
        </w:rPr>
        <w:t xml:space="preserve">05 (groupe de femmes, habitat lacustre) : </w:t>
      </w:r>
      <w:r>
        <w:t>groupe de femmes en séance dans l’habitat lacustre (claies/plancher bois) — très représentative du contexte Sô-Ava.</w:t>
      </w:r>
    </w:p>
    <w:p>
      <w:pPr>
        <w:pStyle w:val="ListBullet"/>
      </w:pPr>
      <w:r>
        <w:rPr>
          <w:b/>
        </w:rPr>
        <w:t xml:space="preserve">03 ou 04 (échanges autour des supports ; n’en garder qu’une, elles se ressemblent) : </w:t>
      </w:r>
      <w:r>
        <w:t>usage des supports visuels/tablette et des fiches pendant les échanges (la photo 02 est partiellement masquée par un doigt sur la droite).</w:t>
      </w:r>
    </w:p>
    <w:p>
      <w:pPr>
        <w:pStyle w:val="ListBullet"/>
      </w:pPr>
      <w:r>
        <w:rPr>
          <w:b/>
        </w:rPr>
        <w:t xml:space="preserve">09 (démonstration en extérieur) : </w:t>
      </w:r>
      <w:r>
        <w:t>démonstration/échanges en extérieur avec les femmes (légère obstruction sur la droite, acceptable après recadrage).</w:t>
      </w:r>
    </w:p>
    <w:p>
      <w:pPr>
        <w:pStyle w:val="ListBullet"/>
      </w:pPr>
      <w:r>
        <w:rPr>
          <w:b/>
        </w:rPr>
        <w:t xml:space="preserve">06 ou 07, et/ou 08 (observations) : </w:t>
      </w:r>
      <w:r>
        <w:t>illustrent les observations post-intervention (aliments/ustensiles couverts), en cohérence avec le résultat sur les « moyens de couvrir les aliments ». La photo 08 montre aussi l’environnement réel du point de vente (chiens au sol) : réaliste, mais à assumer comme photo de contexte. La photo 10 fait apparaître deux jeunes enfants au premier plan arrière : à n’utiliser que si le cadre de diffusion le permet.</w:t>
      </w:r>
    </w:p>
    <w:p>
      <w:r>
        <w:t>Supports pédagogiques (optionnels, dossier séparé) : flipcharts « Comprendre comment les aliments se contaminent », « Lavage des mains aux moments critiques », « Protection des aliments après préparation », « Eau propre, ustensiles propres, espace propre », « Bien conserver et bien réchauffer les aliments », ainsi que la carte des 21 villages OVILAC de Sô-Ava. Ne les joins que si Marijke les demande ou si vous convenez de documenter aussi les outils dans les annexes du rapport — la réponse les propose sans les imposer.</w:t>
      </w:r>
    </w:p>
    <w:p>
      <w:r>
        <w:br w:type="page"/>
      </w:r>
    </w:p>
    <w:p>
      <w:pPr>
        <w:pStyle w:val="Heading1"/>
      </w:pPr>
      <w:r>
        <w:t>Section E — Formulaires de remplacement et esquisse de plan d’analyses (à ne pas envoyer tels quels)</w:t>
      </w:r>
    </w:p>
    <w:p>
      <w:pPr>
        <w:pStyle w:val="Heading2"/>
      </w:pPr>
      <w:r>
        <w:t>E.1. Phrases de remplacement selon ta situation</w:t>
      </w:r>
    </w:p>
    <w:p>
      <w:r>
        <w:rPr>
          <w:b/>
        </w:rPr>
        <w:t>Si tu n’es pas encore prête à joindre les photos (remplace le §4, 2e moitié du 1er paragraphe) :</w:t>
      </w:r>
    </w:p>
    <w:p>
      <w:r>
        <w:t>FR : « Je rassemble actuellement les fichiers originaux, de meilleure qualité que les images compressées du document Word, avec le village et la date de chaque séance ; je vous les transmettrai dans un message séparé d’ici le [date], accompagnés de légendes proposées en français et en anglais. »</w:t>
      </w:r>
    </w:p>
    <w:p>
      <w:r>
        <w:t>EN: “I am currently gathering the original files, which are of better quality than the compressed images in the Word document, together with the village and date of each session; I will send them to you in a separate message by [date], with proposed captions in French and English.”</w:t>
      </w:r>
    </w:p>
    <w:p>
      <w:r>
        <w:rPr>
          <w:b/>
        </w:rPr>
        <w:t>Si ta disponibilité pour les analyses complémentaires est limitée (à insérer à la fin du §3) :</w:t>
      </w:r>
    </w:p>
    <w:p>
      <w:r>
        <w:t>FR : « Je précise que ma disponibilité sera [par exemple : limitée au cours des prochaines semaines en raison de … / plus importante à partir de …] ; la connaissance de votre échéance de reporting m’aidera donc à vous proposer un calendrier réaliste, éventuellement en priorisant d’abord le tableau des prévalences item par item, directement utile au rapport. »</w:t>
      </w:r>
    </w:p>
    <w:p>
      <w:r>
        <w:t>EN: “I should mention that my availability will be [e.g. limited over the coming weeks because of … / greater from … onwards]; knowing your reporting deadline will therefore help me propose a realistic timetable, possibly prioritising the item-by-item prevalence table, which can be used directly in the report.”</w:t>
      </w:r>
    </w:p>
    <w:p>
      <w:r>
        <w:rPr>
          <w:b/>
        </w:rPr>
        <w:t>Formulation prudente proposable pour le rapport OVILAC (à offrir si Marijke le souhaite) :</w:t>
      </w:r>
    </w:p>
    <w:p>
      <w:r>
        <w:t>FR : « Dans une étude avant-après sans groupe témoin menée auprès de 424 femmes dans 21 villages de Sô-Ava, les proportions de connaissances, d’attitudes, de perceptions et de pratiques d’hygiène favorables étaient plus élevées après l’intervention éducative qu’avant celle-ci (pratiques favorables : 65,6 % → 86,1 %). En l’absence de groupe témoin, et compte tenu des biais possibles liés aux réponses déclarées et à la courte durée du suivi, ces évolutions décrivent un changement observé après l’intervention et ne démontrent pas un effet causal de celle-ci. Les contraintes structurelles (eau sûre, latrines, dispositif de lavage des mains et savon, gestion des déchets) documentées par l’étude persistent et conditionnent le maintien des pratiques. »</w:t>
      </w:r>
    </w:p>
    <w:p>
      <w:r>
        <w:t>EN: “In an uncontrolled before-and-after study among 424 women in 21 villages of Sô-Ava, the proportions with favourable hygiene knowledge, attitudes, risk perceptions and practices were higher after the educational intervention than before it (favourable practices: 65.6% → 86.1%). In the absence of a control group, and given possible bias from self-reported responses and the short follow-up, these changes describe what was observed after the intervention and do not demonstrate a causal effect of the intervention. The structural constraints documented by the study (safe water, latrines, handwashing device and soap, waste management) persist and condition whether practices can be sustained.”</w:t>
      </w:r>
    </w:p>
    <w:p>
      <w:pPr>
        <w:pStyle w:val="Heading2"/>
      </w:pPr>
      <w:r>
        <w:t>E.2. Esquisse de plan d’analyses complémentaires (à valider avec Marijke et la Professeure Colette)</w:t>
      </w:r>
    </w:p>
    <w:p>
      <w:r>
        <w:t>Objectif : transformer le diagnostic du mémoire en outil de priorisation pour OVILAC, sans rouvrir le mémoire soutenu. Livrable envisagé : une note technique courte (5 à 8 pages) + un fichier Excel de tableaux + 2 ou 3 figures, en français avec résumé en anglais (ou l’inverse selon la demande). Étapes préalables : contrôle de la base item par item (complétude, valeurs manquantes, cohérence avant/après, distinction déclaratif/observé, présence des identifiants village/arrondissement) et validation du plan ci-dessous.</w:t>
      </w:r>
    </w:p>
    <w:tbl>
      <w:tblPr>
        <w:tblStyle w:val="TableGrid"/>
        <w:tblW w:type="auto" w:w="0"/>
        <w:jc w:val="center"/>
        <w:tblLook w:firstColumn="1" w:firstRow="1" w:lastColumn="0" w:lastRow="0" w:noHBand="0" w:noVBand="1" w:val="04A0"/>
      </w:tblPr>
      <w:tblGrid>
        <w:gridCol w:w="4873"/>
        <w:gridCol w:w="4873"/>
      </w:tblGrid>
      <w:tr>
        <w:tc>
          <w:tcPr>
            <w:tcW w:type="dxa" w:w="2381"/>
            <w:shd w:fill="1F4E79" w:val="clear"/>
          </w:tcPr>
          <w:p>
            <w:r/>
            <w:r>
              <w:rPr>
                <w:rFonts w:ascii="Calibri" w:hAnsi="Calibri"/>
                <w:b/>
                <w:color w:val="FFFFFF"/>
                <w:sz w:val="18"/>
              </w:rPr>
              <w:t>Volet</w:t>
            </w:r>
          </w:p>
        </w:tc>
        <w:tc>
          <w:tcPr>
            <w:tcW w:type="dxa" w:w="6917"/>
            <w:shd w:fill="1F4E79" w:val="clear"/>
          </w:tcPr>
          <w:p>
            <w:r/>
            <w:r>
              <w:rPr>
                <w:rFonts w:ascii="Calibri" w:hAnsi="Calibri"/>
                <w:b/>
                <w:color w:val="FFFFFF"/>
                <w:sz w:val="18"/>
              </w:rPr>
              <w:t>Indicateurs et analyses envisagées</w:t>
            </w:r>
          </w:p>
        </w:tc>
      </w:tr>
      <w:tr>
        <w:tc>
          <w:tcPr>
            <w:tcW w:type="dxa" w:w="2381"/>
          </w:tcPr>
          <w:p>
            <w:r/>
            <w:r>
              <w:rPr>
                <w:rFonts w:ascii="Calibri" w:hAnsi="Calibri"/>
                <w:sz w:val="18"/>
              </w:rPr>
              <w:t>A. Prévalence de chaque contrainte (baseline en priorité)</w:t>
            </w:r>
          </w:p>
        </w:tc>
        <w:tc>
          <w:tcPr>
            <w:tcW w:type="dxa" w:w="6917"/>
          </w:tcPr>
          <w:p>
            <w:r/>
            <w:r>
              <w:rPr>
                <w:rFonts w:ascii="Calibri" w:hAnsi="Calibri"/>
                <w:sz w:val="18"/>
              </w:rPr>
              <w:t>Pour chaque item : n, % et IC95 %. Source d’eau de boisson (dont eau du lac) ; eau disponible au moment de la visite ; distance au point d’eau si disponible ; latrine présente/fonctionnelle ; dispositif de lavage des mains ; savon présent ; combinaison « dispositif + eau + savon » ; mode d’élimination des déchets (dépotoir/brûlage/rejet dans l’eau…) et déchets visibles observés ; espace de préparation dédié/propre ; ustensiles propres/suffisants ; moyens de couvrir les aliments ; lieu/mode de conservation ; mouches autour des aliments si l’item existe. Pour chaque indicateur : préciser la source (déclaré au questionnaire ou observé). Figure en barres triée de la contrainte la plus fréquente à la moins fréquente. Comparaison avant/après item par item (McNemar) uniquement à titre descriptif et avec les mêmes réserves causales.</w:t>
            </w:r>
          </w:p>
        </w:tc>
      </w:tr>
      <w:tr>
        <w:tc>
          <w:tcPr>
            <w:tcW w:type="dxa" w:w="2381"/>
          </w:tcPr>
          <w:p>
            <w:r/>
            <w:r>
              <w:rPr>
                <w:rFonts w:ascii="Calibri" w:hAnsi="Calibri"/>
                <w:sz w:val="18"/>
              </w:rPr>
              <w:t>B. Conditions structurelles et pratiques</w:t>
            </w:r>
          </w:p>
        </w:tc>
        <w:tc>
          <w:tcPr>
            <w:tcW w:type="dxa" w:w="6917"/>
          </w:tcPr>
          <w:p>
            <w:r/>
            <w:r>
              <w:rPr>
                <w:rFonts w:ascii="Calibri" w:hAnsi="Calibri"/>
                <w:sz w:val="18"/>
              </w:rPr>
              <w:t>Issues : score global de pratiques + pratiques spécifiques (lavage des mains avant préparation/avant de manger/après les latrines, eau propre pour la préparation, couverture des aliments, réchauffage, lavage des ustensiles, lavage/décontamination des fruits et légumes, espace de préparation propre). Analyses bivariées (khi²/Fisher) puis régressions logistiques ajustées (âge, instruction, activité, taille du ménage, nombre d’enfants, ancienneté de résidence ; attitudes/perceptions dans des modèles séparés pour ne pas masquer l’effet des conditions matérielles). Questions ciblées de Marijke : lavage des mains selon présence dispositif/savon et accès à l’eau ; hygiène alimentaire selon source d’eau, assainissement et déchets. Réexamen critique des associations contre-intuitives du mémoire (accès déclaré à l’eau, lieu de conservation) : définitions, codage, confusion, colinéarité. Interprétation strictement associative.</w:t>
            </w:r>
          </w:p>
        </w:tc>
      </w:tr>
      <w:tr>
        <w:tc>
          <w:tcPr>
            <w:tcW w:type="dxa" w:w="2381"/>
          </w:tcPr>
          <w:p>
            <w:r/>
            <w:r>
              <w:rPr>
                <w:rFonts w:ascii="Calibri" w:hAnsi="Calibri"/>
                <w:sz w:val="18"/>
              </w:rPr>
              <w:t>C. Différences villages / arrondissements / ménages</w:t>
            </w:r>
          </w:p>
        </w:tc>
        <w:tc>
          <w:tcPr>
            <w:tcW w:type="dxa" w:w="6917"/>
          </w:tcPr>
          <w:p>
            <w:r/>
            <w:r>
              <w:rPr>
                <w:rFonts w:ascii="Calibri" w:hAnsi="Calibri"/>
                <w:sz w:val="18"/>
              </w:rPr>
              <w:t>Ventilation des prévalences et des pratiques par arrondissement (effectifs plus stables) et, à titre exploratoire, par village (effectifs de 4 à 68 : prudence, IC larges). Stratifications : habitat sur pilotis vs terre ferme, instruction, activité (dont vendeuses de repas si identifiable), taille du ménage et nombre d’enfants, ancienneté de résidence, exposition antérieure à une éducation sanitaire. Sensibilité : modèle tenant compte des grappes (GEE ou modèle multi-niveaux avec effet village) à comparer aux résultats non ajustés du mémoire. Triangulation avec les observations et verbatim existants pour interpréter les écarts.</w:t>
            </w:r>
          </w:p>
        </w:tc>
      </w:tr>
      <w:tr>
        <w:tc>
          <w:tcPr>
            <w:tcW w:type="dxa" w:w="2381"/>
          </w:tcPr>
          <w:p>
            <w:r/>
            <w:r>
              <w:rPr>
                <w:rFonts w:ascii="Calibri" w:hAnsi="Calibri"/>
                <w:sz w:val="18"/>
              </w:rPr>
              <w:t>Précautions transversales</w:t>
            </w:r>
          </w:p>
        </w:tc>
        <w:tc>
          <w:tcPr>
            <w:tcW w:type="dxa" w:w="6917"/>
          </w:tcPr>
          <w:p>
            <w:r/>
            <w:r>
              <w:rPr>
                <w:rFonts w:ascii="Calibri" w:hAnsi="Calibri"/>
                <w:sz w:val="18"/>
              </w:rPr>
              <w:t>Rapporter systématiquement les effectifs et les données manquantes ; éviter de multiplier les tests sans hiérarchie (questions prioritaires définies avec OVILAC) ; ne jamais présenter ces associations transversales comme causales ; discuter ce que la base ne permet pas de mesurer (ex. qualité microbiologique de l’eau, maintien à long terme) et renvoyer vers les perspectives déjà proposées dans le mémoire (suivi longitudinal, comparaison lacustre/non lacustre, analyses avec mesures microbiologiques, interventions combinées éducation + WASH).</w:t>
            </w:r>
          </w:p>
        </w:tc>
      </w:tr>
    </w:tbl>
    <w:p/>
    <w:p>
      <w:r>
        <w:t>Fin du document de travail. Sections à envoyer : B (français) ou C (anglais), au choix — avec le dossier de photos et la liste des légendes en pièces jointes.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Réponse de mail</dc:title>
  <dc:subject>Réponse détaillée au courriel de Marijke (projet OVILAC) — français et anglais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