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i w:val="0"/>
          <w:color w:val="1F4E79"/>
          <w:sz w:val="38"/>
        </w:rPr>
        <w:t>MARIE EDITH R. A. M. GNACADJA</w:t>
      </w:r>
    </w:p>
    <w:p>
      <w:pPr>
        <w:spacing w:before="0" w:after="20"/>
      </w:pPr>
      <w:r>
        <w:rPr>
          <w:b w:val="0"/>
          <w:i w:val="0"/>
          <w:color w:val="1F4E79"/>
          <w:sz w:val="23"/>
        </w:rPr>
        <w:t>Nutritionniste santé publique · Ingénieur en biologie médicale</w:t>
      </w:r>
    </w:p>
    <w:p>
      <w:pPr>
        <w:spacing w:before="0" w:after="40"/>
      </w:pPr>
      <w:r>
        <w:rPr>
          <w:b w:val="0"/>
          <w:i w:val="0"/>
          <w:color w:val="595959"/>
          <w:sz w:val="19"/>
        </w:rPr>
        <w:t>Womey, Calavi (Bénin) · +229 62 07 56 06 · edithgnaca1@gmail.com</w:t>
      </w:r>
    </w:p>
    <w:p>
      <w:pPr>
        <w:spacing w:before="220" w:after="100"/>
        <w:pBdr>
          <w:bottom w:val="single" w:sz="8" w:space="2" w:color="1F4E79"/>
        </w:pBdr>
      </w:pPr>
      <w:r>
        <w:rPr>
          <w:b/>
          <w:color w:val="1F4E79"/>
          <w:sz w:val="21"/>
        </w:rPr>
        <w:t>PROFIL</w:t>
      </w:r>
    </w:p>
    <w:p>
      <w:pPr>
        <w:spacing w:before="0" w:after="60"/>
      </w:pPr>
      <w:r>
        <w:rPr>
          <w:b w:val="0"/>
          <w:i w:val="0"/>
          <w:sz w:val="21"/>
        </w:rPr>
        <w:t>Titulaire du Master 2 Nutrition et santé des populations (Institut Régional de Santé Publique de Ouidah, 2026) et du Diplôme universitaire d'éducation nutritionnelle pour l'Afrique francophone (Université Senghor). Terrains conduits dans trois zones sanitaires du Bénin : étude interventionnelle sur l'hygiène hydro-fécale et alimentaire à Sô-Ava (424 femmes), analyse de situation nutritionnelle à Aplahoué-Djakotomey-Dogbo, appui à la planification sanitaire à la direction départementale du Littoral. Conception et conduite d'enquêtes, analyse de données (DHIS2, KoboCollect, Epi Info, Stata) et production de supports d'éducation nutritionnelle.</w:t>
      </w:r>
    </w:p>
    <w:p>
      <w:pPr>
        <w:spacing w:before="220" w:after="100"/>
        <w:pBdr>
          <w:bottom w:val="single" w:sz="8" w:space="2" w:color="1F4E79"/>
        </w:pBdr>
      </w:pPr>
      <w:r>
        <w:rPr>
          <w:b/>
          <w:color w:val="1F4E79"/>
          <w:sz w:val="21"/>
        </w:rPr>
        <w:t>FORMATION</w:t>
      </w:r>
    </w:p>
    <w:p>
      <w:pPr>
        <w:spacing w:before="120" w:after="20"/>
      </w:pPr>
      <w:r>
        <w:rPr>
          <w:b/>
          <w:sz w:val="21"/>
        </w:rPr>
        <w:t>Master 2 Nutrition et santé des populations</w:t>
      </w:r>
      <w:r>
        <w:rPr>
          <w:i/>
          <w:color w:val="595959"/>
          <w:sz w:val="19"/>
        </w:rPr>
        <w:t xml:space="preserve">  ·  2025 – 2026  ·  Institut Régional de Santé Publique (IRSP), Ouidah</w:t>
      </w:r>
    </w:p>
    <w:p>
      <w:pPr>
        <w:spacing w:before="120" w:after="20"/>
      </w:pPr>
      <w:r>
        <w:rPr>
          <w:b/>
          <w:sz w:val="21"/>
        </w:rPr>
        <w:t>Diplôme universitaire en Éducation nutritionnelle pour l'Afrique francophone (en ligne)</w:t>
      </w:r>
      <w:r>
        <w:rPr>
          <w:i/>
          <w:color w:val="595959"/>
          <w:sz w:val="19"/>
        </w:rPr>
        <w:t xml:space="preserve">  ·  Octobre 2024 – mai 2025  ·  Université Senghor</w:t>
      </w:r>
    </w:p>
    <w:p>
      <w:pPr>
        <w:spacing w:before="120" w:after="20"/>
      </w:pPr>
      <w:r>
        <w:rPr>
          <w:b/>
          <w:sz w:val="21"/>
        </w:rPr>
        <w:t>Master 1 Nutrition et santé des populations</w:t>
      </w:r>
      <w:r>
        <w:rPr>
          <w:i/>
          <w:color w:val="595959"/>
          <w:sz w:val="19"/>
        </w:rPr>
        <w:t xml:space="preserve">  ·  2024 – 2025  ·  Institut Régional de Santé Publique (IRSP), Ouidah</w:t>
      </w:r>
    </w:p>
    <w:p>
      <w:pPr>
        <w:spacing w:before="120" w:after="20"/>
      </w:pPr>
      <w:r>
        <w:rPr>
          <w:b/>
          <w:sz w:val="21"/>
        </w:rPr>
        <w:t>Certification en microbiologie (délivrée par l'OMS)</w:t>
      </w:r>
      <w:r>
        <w:rPr>
          <w:i/>
          <w:color w:val="595959"/>
          <w:sz w:val="19"/>
        </w:rPr>
        <w:t xml:space="preserve">  ·  2023 – 2024  ·  URMAPHA, École Polytechnique d'Abomey-Calavi</w:t>
      </w:r>
    </w:p>
    <w:p>
      <w:pPr>
        <w:spacing w:before="120" w:after="20"/>
      </w:pPr>
      <w:r>
        <w:rPr>
          <w:b/>
          <w:sz w:val="21"/>
        </w:rPr>
        <w:t>Licence en biologie médicale</w:t>
      </w:r>
      <w:r>
        <w:rPr>
          <w:i/>
          <w:color w:val="595959"/>
          <w:sz w:val="19"/>
        </w:rPr>
        <w:t xml:space="preserve">  ·  2020 – 2023  ·  IRGIB-AFRICA, Cotonou</w:t>
      </w:r>
    </w:p>
    <w:p>
      <w:pPr>
        <w:spacing w:before="120" w:after="20"/>
      </w:pPr>
      <w:r>
        <w:rPr>
          <w:b/>
          <w:sz w:val="21"/>
        </w:rPr>
        <w:t>Formation en graphisme</w:t>
      </w:r>
      <w:r>
        <w:rPr>
          <w:i/>
          <w:color w:val="595959"/>
          <w:sz w:val="19"/>
        </w:rPr>
        <w:t xml:space="preserve">  ·  2019 – 2020  ·  EIGB, Cotonou</w:t>
      </w:r>
    </w:p>
    <w:p>
      <w:pPr>
        <w:spacing w:before="120" w:after="20"/>
      </w:pPr>
      <w:r>
        <w:rPr>
          <w:b/>
          <w:sz w:val="21"/>
        </w:rPr>
        <w:t>Baccalauréat D</w:t>
      </w:r>
      <w:r>
        <w:rPr>
          <w:i/>
          <w:color w:val="595959"/>
          <w:sz w:val="19"/>
        </w:rPr>
        <w:t xml:space="preserve">  ·  2018 – 2019  ·  Collège Catholique Saint-Augustin</w:t>
      </w:r>
    </w:p>
    <w:p>
      <w:pPr>
        <w:spacing w:before="220" w:after="100"/>
        <w:pBdr>
          <w:bottom w:val="single" w:sz="8" w:space="2" w:color="1F4E79"/>
        </w:pBdr>
      </w:pPr>
      <w:r>
        <w:rPr>
          <w:b/>
          <w:color w:val="1F4E79"/>
          <w:sz w:val="21"/>
        </w:rPr>
        <w:t>EXPÉRIENCES DE TERRAIN</w:t>
      </w:r>
    </w:p>
    <w:p>
      <w:pPr>
        <w:spacing w:before="120" w:after="20"/>
      </w:pPr>
      <w:r>
        <w:rPr>
          <w:b/>
          <w:sz w:val="21"/>
        </w:rPr>
        <w:t>Stage académique — étude interventionnelle en communauté</w:t>
      </w:r>
      <w:r>
        <w:rPr>
          <w:i/>
          <w:color w:val="595959"/>
          <w:sz w:val="19"/>
        </w:rPr>
        <w:t xml:space="preserve">  ·  Mai 2026  ·  Zone sanitaire Abomey-Calavi / Sô-Ava</w:t>
      </w:r>
    </w:p>
    <w:p>
      <w:pPr>
        <w:pStyle w:val="ListBullet"/>
        <w:spacing w:after="20" w:line="245" w:lineRule="auto"/>
        <w:ind w:left="283"/>
      </w:pPr>
      <w:r>
        <w:rPr>
          <w:sz w:val="21"/>
        </w:rPr>
        <w:t>Conduite d'une étude interventionnelle avant/après sur l'hygiène hydro-fécale et alimentaire auprès de 424 femmes de la commune de Sô-Ava.</w:t>
      </w:r>
    </w:p>
    <w:p>
      <w:pPr>
        <w:pStyle w:val="ListBullet"/>
        <w:spacing w:after="20" w:line="245" w:lineRule="auto"/>
        <w:ind w:left="283"/>
      </w:pPr>
      <w:r>
        <w:rPr>
          <w:sz w:val="21"/>
        </w:rPr>
        <w:t>Échantillonnage, collecte de données et observations ménagères.</w:t>
      </w:r>
    </w:p>
    <w:p>
      <w:pPr>
        <w:pStyle w:val="ListBullet"/>
        <w:spacing w:after="20" w:line="245" w:lineRule="auto"/>
        <w:ind w:left="283"/>
      </w:pPr>
      <w:r>
        <w:rPr>
          <w:sz w:val="21"/>
        </w:rPr>
        <w:t>Analyse des scores CAPP et comparaison avant/après intervention.</w:t>
      </w:r>
    </w:p>
    <w:p>
      <w:pPr>
        <w:pStyle w:val="ListBullet"/>
        <w:spacing w:after="20" w:line="245" w:lineRule="auto"/>
        <w:ind w:left="283"/>
      </w:pPr>
      <w:r>
        <w:rPr>
          <w:sz w:val="21"/>
        </w:rPr>
        <w:t>Encadrement de quatre enquêteurs ; travail mené avec les relais communautaires, les chefs de village et le médecin coordonnateur de la zone sanitaire.</w:t>
      </w:r>
    </w:p>
    <w:p>
      <w:pPr>
        <w:pStyle w:val="ListBullet"/>
        <w:spacing w:after="20" w:line="245" w:lineRule="auto"/>
        <w:ind w:left="283"/>
      </w:pPr>
      <w:r>
        <w:rPr>
          <w:sz w:val="21"/>
        </w:rPr>
        <w:t>Résultats observés entre le début et la fin de l'intervention : connaissances 7,78 % → 58,96 % ; attitudes 58,02 % → 84,67 % ; perception du risque 2,83 % → 58,25 % ; pratiques 65,57 % → 86,08 %.</w:t>
      </w:r>
    </w:p>
    <w:p>
      <w:pPr>
        <w:pStyle w:val="ListBullet"/>
        <w:spacing w:after="20" w:line="245" w:lineRule="auto"/>
        <w:ind w:left="283"/>
      </w:pPr>
      <w:r>
        <w:rPr>
          <w:sz w:val="21"/>
        </w:rPr>
        <w:t>Formulation de recommandations en santé publique à partir des résultats.</w:t>
      </w:r>
    </w:p>
    <w:p>
      <w:pPr>
        <w:spacing w:before="120" w:after="20"/>
      </w:pPr>
      <w:r>
        <w:rPr>
          <w:b/>
          <w:sz w:val="21"/>
        </w:rPr>
        <w:t>Stage académique — analyse de situation nutritionnelle</w:t>
      </w:r>
      <w:r>
        <w:rPr>
          <w:i/>
          <w:color w:val="595959"/>
          <w:sz w:val="19"/>
        </w:rPr>
        <w:t xml:space="preserve">  ·  Février 2026  ·  Zone sanitaire Aplahoué-Djakotomey-Dogbo (ADD)</w:t>
      </w:r>
    </w:p>
    <w:p>
      <w:pPr>
        <w:pStyle w:val="ListBullet"/>
        <w:spacing w:after="20" w:line="245" w:lineRule="auto"/>
        <w:ind w:left="283"/>
      </w:pPr>
      <w:r>
        <w:rPr>
          <w:sz w:val="21"/>
        </w:rPr>
        <w:t>Analyse de la situation nutritionnelle de la zone sanitaire.</w:t>
      </w:r>
    </w:p>
    <w:p>
      <w:pPr>
        <w:pStyle w:val="ListBullet"/>
        <w:spacing w:after="20" w:line="245" w:lineRule="auto"/>
        <w:ind w:left="283"/>
      </w:pPr>
      <w:r>
        <w:rPr>
          <w:sz w:val="21"/>
        </w:rPr>
        <w:t>Collecte et analyse des données du DHIS2, des annuaires statistiques et des plans de développement communal (PDC).</w:t>
      </w:r>
    </w:p>
    <w:p>
      <w:pPr>
        <w:pStyle w:val="ListBullet"/>
        <w:spacing w:after="20" w:line="245" w:lineRule="auto"/>
        <w:ind w:left="283"/>
      </w:pPr>
      <w:r>
        <w:rPr>
          <w:sz w:val="21"/>
        </w:rPr>
        <w:t>Enquêtes qualitatives : entretiens et observations de terrain.</w:t>
      </w:r>
    </w:p>
    <w:p>
      <w:pPr>
        <w:pStyle w:val="ListBullet"/>
        <w:spacing w:after="20" w:line="245" w:lineRule="auto"/>
        <w:ind w:left="283"/>
      </w:pPr>
      <w:r>
        <w:rPr>
          <w:sz w:val="21"/>
        </w:rPr>
        <w:t>Analyse des indicateurs nutritionnels et élaboration d'une analyse SWOT.</w:t>
      </w:r>
    </w:p>
    <w:p>
      <w:pPr>
        <w:pStyle w:val="ListBullet"/>
        <w:spacing w:after="20" w:line="245" w:lineRule="auto"/>
        <w:ind w:left="283"/>
      </w:pPr>
      <w:r>
        <w:rPr>
          <w:sz w:val="21"/>
        </w:rPr>
        <w:t>Priorisation des problèmes de santé et rédaction du rapport de stage.</w:t>
      </w:r>
    </w:p>
    <w:p>
      <w:pPr>
        <w:spacing w:before="120" w:after="20"/>
      </w:pPr>
      <w:r>
        <w:rPr>
          <w:b/>
          <w:sz w:val="21"/>
        </w:rPr>
        <w:t>Stage académique — planification sanitaire départementale</w:t>
      </w:r>
      <w:r>
        <w:rPr>
          <w:i/>
          <w:color w:val="595959"/>
          <w:sz w:val="19"/>
        </w:rPr>
        <w:t xml:space="preserve">  ·  Septembre 2025  ·  Direction départementale de la santé du Littoral</w:t>
      </w:r>
    </w:p>
    <w:p>
      <w:pPr>
        <w:pStyle w:val="ListBullet"/>
        <w:spacing w:after="20" w:line="245" w:lineRule="auto"/>
        <w:ind w:left="283"/>
      </w:pPr>
      <w:r>
        <w:rPr>
          <w:sz w:val="21"/>
        </w:rPr>
        <w:t>Analyse de situation sanitaire au niveau départemental ; identification et priorisation des problèmes de santé publique, dont la couverture vaccinale.</w:t>
      </w:r>
    </w:p>
    <w:p>
      <w:pPr>
        <w:pStyle w:val="ListBullet"/>
        <w:spacing w:after="20" w:line="245" w:lineRule="auto"/>
        <w:ind w:left="283"/>
      </w:pPr>
      <w:r>
        <w:rPr>
          <w:sz w:val="21"/>
        </w:rPr>
        <w:t>Exploitation des documents de planification sanitaire (lettre de mission, AOF).</w:t>
      </w:r>
    </w:p>
    <w:p>
      <w:pPr>
        <w:pStyle w:val="ListBullet"/>
        <w:spacing w:after="20" w:line="245" w:lineRule="auto"/>
        <w:ind w:left="283"/>
      </w:pPr>
      <w:r>
        <w:rPr>
          <w:sz w:val="21"/>
        </w:rPr>
        <w:t>Conduite d'entretiens avec les responsables des divisions « Santé publique et riposte » et « Santé communautaire ».</w:t>
      </w:r>
    </w:p>
    <w:p>
      <w:pPr>
        <w:pStyle w:val="ListBullet"/>
        <w:spacing w:after="20" w:line="245" w:lineRule="auto"/>
        <w:ind w:left="283"/>
      </w:pPr>
      <w:r>
        <w:rPr>
          <w:sz w:val="21"/>
        </w:rPr>
        <w:t>Élaboration d'un plan opérationnel : objectifs SMART, stratégies, activités et indicateurs ; initiation à la planification, au suivi et à l'évaluation.</w:t>
      </w:r>
    </w:p>
    <w:p>
      <w:pPr>
        <w:pStyle w:val="ListBullet"/>
        <w:spacing w:after="20" w:line="245" w:lineRule="auto"/>
        <w:ind w:left="283"/>
      </w:pPr>
      <w:r>
        <w:rPr>
          <w:sz w:val="21"/>
        </w:rPr>
        <w:t>Rédaction du rapport de stage.</w:t>
      </w:r>
    </w:p>
    <w:p>
      <w:pPr>
        <w:spacing w:before="120" w:after="20"/>
      </w:pPr>
      <w:r>
        <w:rPr>
          <w:b/>
          <w:sz w:val="21"/>
        </w:rPr>
        <w:t>Stage en microbiologie moléculaire et médicale, et appui administratif</w:t>
      </w:r>
      <w:r>
        <w:rPr>
          <w:i/>
          <w:color w:val="595959"/>
          <w:sz w:val="19"/>
        </w:rPr>
        <w:t xml:space="preserve">  ·  2023 – 2024  ·  URMAPHA, École Polytechnique d'Abomey-Calavi</w:t>
      </w:r>
    </w:p>
    <w:p>
      <w:pPr>
        <w:pStyle w:val="ListBullet"/>
        <w:spacing w:after="20" w:line="245" w:lineRule="auto"/>
        <w:ind w:left="283"/>
      </w:pPr>
      <w:r>
        <w:rPr>
          <w:sz w:val="21"/>
        </w:rPr>
        <w:t>Préparation et traitement d'échantillons biologiques, cultures et entretien de micro-organismes, tenue des notes de laboratoire et rédaction de rapports d'analyses.</w:t>
      </w:r>
    </w:p>
    <w:p>
      <w:pPr>
        <w:pStyle w:val="ListBullet"/>
        <w:spacing w:after="20" w:line="245" w:lineRule="auto"/>
        <w:ind w:left="283"/>
      </w:pPr>
      <w:r>
        <w:rPr>
          <w:sz w:val="21"/>
        </w:rPr>
        <w:t>Respect des normes de sécurité et des bonnes pratiques de laboratoire ; rédaction de rapports de qualité et documentation des procédures.</w:t>
      </w:r>
    </w:p>
    <w:p>
      <w:pPr>
        <w:pStyle w:val="ListBullet"/>
        <w:spacing w:after="20" w:line="245" w:lineRule="auto"/>
        <w:ind w:left="283"/>
      </w:pPr>
      <w:r>
        <w:rPr>
          <w:sz w:val="21"/>
        </w:rPr>
        <w:t>Gestion du volet administratif de l'unité : archivage et transmission des dossiers, rédaction et enregistrement des courriers, préparation des rapports d'activités.</w:t>
      </w:r>
    </w:p>
    <w:p>
      <w:pPr>
        <w:pStyle w:val="ListBullet"/>
        <w:spacing w:after="20" w:line="245" w:lineRule="auto"/>
        <w:ind w:left="283"/>
      </w:pPr>
      <w:r>
        <w:rPr>
          <w:sz w:val="21"/>
        </w:rPr>
        <w:t>Enquêtrice pour le projet Minangan sur la médecine traditionnelle au Bénin (pratiques, interactions et perspectives liées aux plantes médicinales).</w:t>
      </w:r>
    </w:p>
    <w:p>
      <w:pPr>
        <w:pStyle w:val="ListBullet"/>
        <w:spacing w:after="20" w:line="245" w:lineRule="auto"/>
        <w:ind w:left="283"/>
      </w:pPr>
      <w:r>
        <w:rPr>
          <w:sz w:val="21"/>
        </w:rPr>
        <w:t>Participation à l'organisation de l'atelier du Programme de leadership scientifique au Bénin et d'une activité sur les revues et conférences prédatrices.</w:t>
      </w:r>
    </w:p>
    <w:p>
      <w:pPr>
        <w:spacing w:before="220" w:after="100"/>
        <w:pBdr>
          <w:bottom w:val="single" w:sz="8" w:space="2" w:color="1F4E79"/>
        </w:pBdr>
      </w:pPr>
      <w:r>
        <w:rPr>
          <w:b/>
          <w:color w:val="1F4E79"/>
          <w:sz w:val="21"/>
        </w:rPr>
        <w:t>COMPÉTENCES</w:t>
      </w:r>
    </w:p>
    <w:p>
      <w:pPr>
        <w:spacing w:before="100" w:after="20"/>
      </w:pPr>
      <w:r>
        <w:rPr>
          <w:b/>
          <w:i w:val="0"/>
          <w:color w:val="595959"/>
          <w:sz w:val="20"/>
        </w:rPr>
        <w:t>Techniques et scientifiques</w:t>
      </w:r>
    </w:p>
    <w:p>
      <w:pPr>
        <w:spacing w:before="0" w:after="0"/>
        <w:ind w:left="227"/>
      </w:pPr>
      <w:r>
        <w:rPr>
          <w:b w:val="0"/>
          <w:i w:val="0"/>
          <w:sz w:val="21"/>
        </w:rPr>
        <w:t>Santé publique, nutrition et épidémiologie  ✓✓✓</w:t>
      </w:r>
    </w:p>
    <w:p>
      <w:pPr>
        <w:spacing w:before="0" w:after="0"/>
        <w:ind w:left="227"/>
      </w:pPr>
      <w:r>
        <w:rPr>
          <w:b w:val="0"/>
          <w:i w:val="0"/>
          <w:sz w:val="21"/>
        </w:rPr>
        <w:t>Conception et conduite d'enquêtes de terrain  ✓✓✓</w:t>
      </w:r>
    </w:p>
    <w:p>
      <w:pPr>
        <w:spacing w:before="0" w:after="0"/>
        <w:ind w:left="227"/>
      </w:pPr>
      <w:r>
        <w:rPr>
          <w:b w:val="0"/>
          <w:i w:val="0"/>
          <w:sz w:val="21"/>
        </w:rPr>
        <w:t>Collecte, gestion et contrôle qualité des données  ✓✓✓</w:t>
      </w:r>
    </w:p>
    <w:p>
      <w:pPr>
        <w:spacing w:before="0" w:after="0"/>
        <w:ind w:left="227"/>
      </w:pPr>
      <w:r>
        <w:rPr>
          <w:b w:val="0"/>
          <w:i w:val="0"/>
          <w:sz w:val="21"/>
        </w:rPr>
        <w:t>Analyse statistique et interprétation des résultats  ✓✓</w:t>
      </w:r>
    </w:p>
    <w:p>
      <w:pPr>
        <w:spacing w:before="0" w:after="0"/>
        <w:ind w:left="227"/>
      </w:pPr>
      <w:r>
        <w:rPr>
          <w:b w:val="0"/>
          <w:i w:val="0"/>
          <w:sz w:val="21"/>
        </w:rPr>
        <w:t>Suivi-évaluation des programmes et projets de santé  ✓✓</w:t>
      </w:r>
    </w:p>
    <w:p>
      <w:pPr>
        <w:spacing w:before="0" w:after="0"/>
        <w:ind w:left="227"/>
      </w:pPr>
      <w:r>
        <w:rPr>
          <w:b w:val="0"/>
          <w:i w:val="0"/>
          <w:sz w:val="21"/>
        </w:rPr>
        <w:t>Techniques de laboratoire biomédical  ✓✓✓</w:t>
      </w:r>
    </w:p>
    <w:p>
      <w:pPr>
        <w:spacing w:before="0" w:after="0"/>
        <w:ind w:left="227"/>
      </w:pPr>
      <w:r>
        <w:rPr>
          <w:b w:val="0"/>
          <w:i w:val="0"/>
          <w:sz w:val="21"/>
        </w:rPr>
        <w:t>Rédaction scientifique, rapports d'activités et comptes rendus  ✓✓✓</w:t>
      </w:r>
    </w:p>
    <w:p>
      <w:pPr>
        <w:spacing w:before="0" w:after="0"/>
        <w:ind w:left="227"/>
      </w:pPr>
      <w:r>
        <w:rPr>
          <w:b w:val="0"/>
          <w:i w:val="0"/>
          <w:sz w:val="21"/>
        </w:rPr>
        <w:t>Élaboration de questionnaires et d'outils de collecte  ✓✓✓</w:t>
      </w:r>
    </w:p>
    <w:p>
      <w:pPr>
        <w:spacing w:before="100" w:after="20"/>
      </w:pPr>
      <w:r>
        <w:rPr>
          <w:b/>
          <w:i w:val="0"/>
          <w:color w:val="595959"/>
          <w:sz w:val="20"/>
        </w:rPr>
        <w:t>Numériques</w:t>
      </w:r>
    </w:p>
    <w:p>
      <w:pPr>
        <w:spacing w:before="0" w:after="0"/>
        <w:ind w:left="227"/>
      </w:pPr>
      <w:r>
        <w:rPr>
          <w:b w:val="0"/>
          <w:i w:val="0"/>
          <w:sz w:val="21"/>
        </w:rPr>
        <w:t>KoboCollect : programmation de formulaires et collecte électronique  ✓✓✓</w:t>
      </w:r>
    </w:p>
    <w:p>
      <w:pPr>
        <w:spacing w:before="0" w:after="0"/>
        <w:ind w:left="227"/>
      </w:pPr>
      <w:r>
        <w:rPr>
          <w:b w:val="0"/>
          <w:i w:val="0"/>
          <w:sz w:val="21"/>
        </w:rPr>
        <w:t>Canva : supports de communication, affiches, posters  ✓✓✓</w:t>
      </w:r>
    </w:p>
    <w:p>
      <w:pPr>
        <w:spacing w:before="0" w:after="0"/>
        <w:ind w:left="227"/>
      </w:pPr>
      <w:r>
        <w:rPr>
          <w:b w:val="0"/>
          <w:i w:val="0"/>
          <w:sz w:val="21"/>
        </w:rPr>
        <w:t>Word et PowerPoint  ✓✓✓</w:t>
      </w:r>
    </w:p>
    <w:p>
      <w:pPr>
        <w:spacing w:before="0" w:after="0"/>
        <w:ind w:left="227"/>
      </w:pPr>
      <w:r>
        <w:rPr>
          <w:b w:val="0"/>
          <w:i w:val="0"/>
          <w:sz w:val="21"/>
        </w:rPr>
        <w:t>Excel, Stata, Epi Info  ✓✓</w:t>
      </w:r>
    </w:p>
    <w:p>
      <w:pPr>
        <w:spacing w:before="0" w:after="0"/>
        <w:ind w:left="227"/>
      </w:pPr>
      <w:r>
        <w:rPr>
          <w:b w:val="0"/>
          <w:i w:val="0"/>
          <w:sz w:val="21"/>
        </w:rPr>
        <w:t>DHIS2 : extraction et analyse d'indicateurs sanitaires et nutritionnels</w:t>
      </w:r>
    </w:p>
    <w:p>
      <w:pPr>
        <w:spacing w:before="100" w:after="20"/>
      </w:pPr>
      <w:r>
        <w:rPr>
          <w:b/>
          <w:i w:val="0"/>
          <w:color w:val="595959"/>
          <w:sz w:val="20"/>
        </w:rPr>
        <w:t>Communication et organisation</w:t>
      </w:r>
    </w:p>
    <w:p>
      <w:pPr>
        <w:spacing w:before="0" w:after="0"/>
        <w:ind w:left="227"/>
      </w:pPr>
      <w:r>
        <w:rPr>
          <w:b w:val="0"/>
          <w:i w:val="0"/>
          <w:sz w:val="21"/>
        </w:rPr>
        <w:t>Conception de supports d'éducation et de sensibilisation en santé  ✓✓✓</w:t>
      </w:r>
    </w:p>
    <w:p>
      <w:pPr>
        <w:spacing w:before="0" w:after="0"/>
        <w:ind w:left="227"/>
      </w:pPr>
      <w:r>
        <w:rPr>
          <w:b w:val="0"/>
          <w:i w:val="0"/>
          <w:sz w:val="21"/>
        </w:rPr>
        <w:t>Communication scientifique et présentation de résultats  ✓✓✓</w:t>
      </w:r>
    </w:p>
    <w:p>
      <w:pPr>
        <w:spacing w:before="0" w:after="0"/>
        <w:ind w:left="227"/>
      </w:pPr>
      <w:r>
        <w:rPr>
          <w:b w:val="0"/>
          <w:i w:val="0"/>
          <w:sz w:val="21"/>
        </w:rPr>
        <w:t>Communication écrite et orale  ✓✓✓</w:t>
      </w:r>
    </w:p>
    <w:p>
      <w:pPr>
        <w:spacing w:before="0" w:after="0"/>
        <w:ind w:left="227"/>
      </w:pPr>
      <w:r>
        <w:rPr>
          <w:b w:val="0"/>
          <w:i w:val="0"/>
          <w:sz w:val="21"/>
        </w:rPr>
        <w:t>Travail en équipe et collaboration multidisciplinaire  ✓✓✓</w:t>
      </w:r>
    </w:p>
    <w:p>
      <w:pPr>
        <w:spacing w:before="0" w:after="0"/>
        <w:ind w:left="227"/>
      </w:pPr>
      <w:r>
        <w:rPr>
          <w:b w:val="0"/>
          <w:i w:val="0"/>
          <w:sz w:val="21"/>
        </w:rPr>
        <w:t>Organisation et coordination d'activités de terrain  ✓✓</w:t>
      </w:r>
    </w:p>
    <w:p>
      <w:pPr>
        <w:spacing w:before="0" w:after="0"/>
        <w:ind w:left="227"/>
      </w:pPr>
      <w:r>
        <w:rPr>
          <w:b w:val="0"/>
          <w:i w:val="0"/>
          <w:sz w:val="21"/>
        </w:rPr>
        <w:t>Autonomie, disponibilité et respect des délais  ✓✓✓</w:t>
      </w:r>
    </w:p>
    <w:p>
      <w:pPr>
        <w:spacing w:before="220" w:after="100"/>
        <w:pBdr>
          <w:bottom w:val="single" w:sz="8" w:space="2" w:color="1F4E79"/>
        </w:pBdr>
      </w:pPr>
      <w:r>
        <w:rPr>
          <w:b/>
          <w:color w:val="1F4E79"/>
          <w:sz w:val="21"/>
        </w:rPr>
        <w:t>LANGUES ET MOBILITÉ</w:t>
      </w:r>
    </w:p>
    <w:p>
      <w:pPr>
        <w:spacing w:before="0" w:after="0"/>
        <w:ind w:left="227"/>
      </w:pPr>
      <w:r>
        <w:rPr>
          <w:b w:val="0"/>
          <w:i w:val="0"/>
          <w:sz w:val="21"/>
        </w:rPr>
        <w:t>Français : expression orale et écrite  ✓✓✓</w:t>
      </w:r>
    </w:p>
    <w:p>
      <w:pPr>
        <w:spacing w:before="0" w:after="0"/>
        <w:ind w:left="227"/>
      </w:pPr>
      <w:r>
        <w:rPr>
          <w:b w:val="0"/>
          <w:i w:val="0"/>
          <w:sz w:val="21"/>
        </w:rPr>
        <w:t>Anglais : lecture et compréhension de documents scientifiques, expression orale et écrite  ✓✓</w:t>
      </w:r>
    </w:p>
    <w:p>
      <w:pPr>
        <w:spacing w:before="0" w:after="0"/>
        <w:ind w:left="227"/>
      </w:pPr>
      <w:r>
        <w:rPr>
          <w:b w:val="0"/>
          <w:i w:val="0"/>
          <w:sz w:val="21"/>
        </w:rPr>
        <w:t>Langues nationales : fon, goun  ·  Permis de conduire catégorie B</w:t>
      </w:r>
    </w:p>
    <w:p>
      <w:pPr>
        <w:spacing w:before="220" w:after="100"/>
        <w:pBdr>
          <w:bottom w:val="single" w:sz="8" w:space="2" w:color="1F4E79"/>
        </w:pBdr>
      </w:pPr>
      <w:r>
        <w:rPr>
          <w:b/>
          <w:color w:val="1F4E79"/>
          <w:sz w:val="21"/>
        </w:rPr>
        <w:t>RÉFÉRENCES</w:t>
      </w:r>
    </w:p>
    <w:p>
      <w:pPr>
        <w:spacing w:before="0" w:after="20"/>
      </w:pPr>
      <w:r>
        <w:rPr>
          <w:b w:val="0"/>
          <w:i w:val="0"/>
          <w:sz w:val="21"/>
        </w:rPr>
        <w:t>Dr Brice Boris LEGBA, PhD — chercheur en microbiologie, URMAPha, École Polytechnique d'Abomey-Calavi — legba.brice@gmail.com — +229 66 01 09 41</w:t>
      </w:r>
    </w:p>
    <w:p>
      <w:pPr>
        <w:spacing w:before="0" w:after="20"/>
      </w:pPr>
      <w:r>
        <w:rPr>
          <w:b w:val="0"/>
          <w:i w:val="0"/>
          <w:sz w:val="21"/>
        </w:rPr>
        <w:t>Professeure Colette AZANDJEME, MD — médecin, maître de conférences agrégée en santé publique, IRSP-CAQ, Université d'Abomey-Calavi</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